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RPr="00CD0055" w:rsidTr="006816EC">
        <w:trPr>
          <w:jc w:val="center"/>
        </w:trPr>
        <w:tc>
          <w:tcPr>
            <w:tcW w:w="743" w:type="dxa"/>
            <w:hideMark/>
          </w:tcPr>
          <w:p w:rsidR="006816EC" w:rsidRPr="00CD0055" w:rsidRDefault="00295DD1">
            <w:pPr>
              <w:jc w:val="both"/>
              <w:rPr>
                <w:rFonts w:ascii="Arial (W1)" w:hAnsi="Arial (W1)"/>
                <w:b/>
                <w:bCs/>
                <w:sz w:val="26"/>
                <w:szCs w:val="26"/>
              </w:rPr>
            </w:pPr>
            <w:bookmarkStart w:id="0" w:name="_GoBack"/>
            <w:bookmarkEnd w:id="0"/>
            <w:r>
              <w:rPr>
                <w:rFonts w:hint="cs"/>
                <w:b/>
                <w:bCs/>
                <w:sz w:val="26"/>
                <w:szCs w:val="26"/>
                <w:rtl/>
              </w:rPr>
              <w:t>ל</w:t>
            </w:r>
            <w:r w:rsidR="006816EC" w:rsidRPr="00CD0055">
              <w:rPr>
                <w:rFonts w:hint="cs"/>
                <w:b/>
                <w:bCs/>
                <w:sz w:val="26"/>
                <w:szCs w:val="26"/>
                <w:rtl/>
              </w:rPr>
              <w:t xml:space="preserve">פני </w:t>
            </w:r>
          </w:p>
        </w:tc>
        <w:tc>
          <w:tcPr>
            <w:tcW w:w="8077" w:type="dxa"/>
            <w:gridSpan w:val="2"/>
            <w:hideMark/>
          </w:tcPr>
          <w:p w:rsidR="006816EC" w:rsidRPr="00CD0055" w:rsidRDefault="00B32C61" w:rsidP="006816EC">
            <w:pPr>
              <w:rPr>
                <w:rFonts w:ascii="Arial" w:hAnsi="Arial"/>
                <w:b/>
                <w:bCs/>
                <w:sz w:val="26"/>
                <w:szCs w:val="26"/>
                <w:rtl/>
              </w:rPr>
            </w:pPr>
            <w:r w:rsidRPr="00CD0055">
              <w:rPr>
                <w:rFonts w:ascii="Arial" w:hAnsi="Arial" w:hint="cs"/>
                <w:b/>
                <w:bCs/>
                <w:sz w:val="26"/>
                <w:szCs w:val="26"/>
                <w:rtl/>
              </w:rPr>
              <w:t>כבוד</w:t>
            </w:r>
            <w:r w:rsidR="006816EC" w:rsidRPr="00CD0055">
              <w:rPr>
                <w:rFonts w:ascii="Arial" w:hAnsi="Arial" w:hint="cs"/>
                <w:b/>
                <w:bCs/>
                <w:sz w:val="26"/>
                <w:szCs w:val="26"/>
                <w:rtl/>
              </w:rPr>
              <w:t xml:space="preserve"> ה</w:t>
            </w:r>
            <w:sdt>
              <w:sdtPr>
                <w:rPr>
                  <w:sz w:val="26"/>
                  <w:szCs w:val="26"/>
                  <w:rtl/>
                </w:rPr>
                <w:alias w:val="1574"/>
                <w:tag w:val="1574"/>
                <w:id w:val="-868990752"/>
                <w:text w:multiLine="1"/>
              </w:sdtPr>
              <w:sdtEndPr/>
              <w:sdtContent>
                <w:r>
                  <w:rPr>
                    <w:rFonts w:ascii="Arial" w:hAnsi="Arial"/>
                    <w:b/>
                    <w:bCs/>
                    <w:sz w:val="26"/>
                    <w:szCs w:val="26"/>
                    <w:rtl/>
                  </w:rPr>
                  <w:t>שופטת</w:t>
                </w:r>
              </w:sdtContent>
            </w:sdt>
            <w:r w:rsidR="006816EC" w:rsidRPr="00CD0055">
              <w:rPr>
                <w:rFonts w:ascii="Arial" w:hAnsi="Arial" w:hint="cs"/>
                <w:b/>
                <w:bCs/>
                <w:sz w:val="26"/>
                <w:szCs w:val="26"/>
                <w:rtl/>
              </w:rPr>
              <w:t xml:space="preserve">  </w:t>
            </w:r>
            <w:sdt>
              <w:sdtPr>
                <w:rPr>
                  <w:sz w:val="26"/>
                  <w:szCs w:val="26"/>
                  <w:rtl/>
                </w:rPr>
                <w:alias w:val="1573"/>
                <w:tag w:val="1573"/>
                <w:id w:val="407734867"/>
                <w:text w:multiLine="1"/>
              </w:sdtPr>
              <w:sdtEndPr/>
              <w:sdtContent>
                <w:r>
                  <w:rPr>
                    <w:rFonts w:ascii="Arial" w:hAnsi="Arial"/>
                    <w:b/>
                    <w:bCs/>
                    <w:sz w:val="26"/>
                    <w:szCs w:val="26"/>
                    <w:rtl/>
                  </w:rPr>
                  <w:t>יעל בלכר</w:t>
                </w:r>
              </w:sdtContent>
            </w:sdt>
          </w:p>
          <w:p w:rsidR="006816EC" w:rsidRPr="00CD0055" w:rsidRDefault="006816EC" w:rsidP="006816EC">
            <w:pPr>
              <w:rPr>
                <w:sz w:val="26"/>
                <w:szCs w:val="26"/>
              </w:rPr>
            </w:pPr>
          </w:p>
        </w:tc>
      </w:tr>
      <w:tr w:rsidR="006816EC" w:rsidRPr="00CD0055" w:rsidTr="006816EC">
        <w:trPr>
          <w:jc w:val="center"/>
        </w:trPr>
        <w:tc>
          <w:tcPr>
            <w:tcW w:w="3249" w:type="dxa"/>
            <w:gridSpan w:val="2"/>
          </w:tcPr>
          <w:p w:rsidR="006816EC" w:rsidRPr="00CD0055" w:rsidRDefault="006816EC">
            <w:pPr>
              <w:bidi w:val="0"/>
              <w:rPr>
                <w:rFonts w:ascii="Arial (W1)" w:hAnsi="Arial (W1)"/>
                <w:b/>
                <w:bCs/>
                <w:noProof w:val="0"/>
                <w:sz w:val="26"/>
                <w:szCs w:val="26"/>
                <w:rtl/>
              </w:rPr>
            </w:pPr>
          </w:p>
          <w:sdt>
            <w:sdtPr>
              <w:rPr>
                <w:rFonts w:hint="cs"/>
                <w:sz w:val="26"/>
                <w:szCs w:val="26"/>
                <w:rtl/>
              </w:rPr>
              <w:alias w:val="1180"/>
              <w:tag w:val="1180"/>
              <w:id w:val="-803768281"/>
              <w:text w:multiLine="1"/>
            </w:sdtPr>
            <w:sdtEndPr/>
            <w:sdtContent>
              <w:p w:rsidR="00263CDE" w:rsidRDefault="002939D4" w:rsidP="002939D4">
                <w:pPr>
                  <w:rPr>
                    <w:rFonts w:ascii="Arial (W1)" w:hAnsi="Arial (W1)"/>
                    <w:b/>
                    <w:bCs/>
                    <w:noProof w:val="0"/>
                    <w:sz w:val="26"/>
                    <w:szCs w:val="26"/>
                  </w:rPr>
                </w:pPr>
                <w:r>
                  <w:rPr>
                    <w:rFonts w:hint="cs"/>
                    <w:b/>
                    <w:bCs/>
                    <w:noProof w:val="0"/>
                    <w:sz w:val="26"/>
                    <w:szCs w:val="26"/>
                    <w:rtl/>
                  </w:rPr>
                  <w:t xml:space="preserve">המערער </w:t>
                </w:r>
              </w:p>
            </w:sdtContent>
          </w:sdt>
        </w:tc>
        <w:tc>
          <w:tcPr>
            <w:tcW w:w="5571" w:type="dxa"/>
          </w:tcPr>
          <w:p w:rsidR="006816EC" w:rsidRPr="00CD0055" w:rsidRDefault="006816EC">
            <w:pPr>
              <w:rPr>
                <w:rFonts w:ascii="Arial (W1)" w:hAnsi="Arial (W1)"/>
                <w:b/>
                <w:bCs/>
                <w:noProof w:val="0"/>
                <w:sz w:val="26"/>
                <w:szCs w:val="26"/>
                <w:rtl/>
              </w:rPr>
            </w:pPr>
          </w:p>
          <w:p w:rsidR="00295DD1" w:rsidRDefault="00C20E2E" w:rsidP="002939D4">
            <w:pPr>
              <w:rPr>
                <w:sz w:val="26"/>
                <w:szCs w:val="26"/>
                <w:rtl/>
              </w:rPr>
            </w:pPr>
            <w:sdt>
              <w:sdtPr>
                <w:rPr>
                  <w:rFonts w:hint="cs"/>
                  <w:sz w:val="26"/>
                  <w:szCs w:val="26"/>
                  <w:rtl/>
                </w:rPr>
                <w:alias w:val="1478"/>
                <w:tag w:val="1478"/>
                <w:id w:val="160126198"/>
                <w:text w:multiLine="1"/>
              </w:sdtPr>
              <w:sdtEndPr/>
              <w:sdtContent>
                <w:r w:rsidR="002939D4">
                  <w:rPr>
                    <w:rFonts w:hint="cs"/>
                    <w:b/>
                    <w:bCs/>
                    <w:noProof w:val="0"/>
                    <w:sz w:val="26"/>
                    <w:szCs w:val="26"/>
                    <w:rtl/>
                  </w:rPr>
                  <w:t>פלוני</w:t>
                </w:r>
              </w:sdtContent>
            </w:sdt>
          </w:p>
          <w:p w:rsidR="006816EC" w:rsidRPr="002939D4" w:rsidRDefault="002939D4" w:rsidP="002939D4">
            <w:pPr>
              <w:rPr>
                <w:rFonts w:ascii="Arial (W1)" w:hAnsi="Arial (W1)"/>
                <w:b/>
                <w:bCs/>
                <w:noProof w:val="0"/>
              </w:rPr>
            </w:pPr>
            <w:r w:rsidRPr="002939D4">
              <w:rPr>
                <w:rFonts w:hint="cs"/>
                <w:rtl/>
              </w:rPr>
              <w:t>בעצמו</w:t>
            </w:r>
          </w:p>
        </w:tc>
      </w:tr>
      <w:tr w:rsidR="006816EC" w:rsidRPr="00CD0055" w:rsidTr="006816EC">
        <w:trPr>
          <w:jc w:val="center"/>
        </w:trPr>
        <w:tc>
          <w:tcPr>
            <w:tcW w:w="8820" w:type="dxa"/>
            <w:gridSpan w:val="3"/>
          </w:tcPr>
          <w:p w:rsidR="006816EC" w:rsidRPr="00CD0055" w:rsidRDefault="006816EC">
            <w:pPr>
              <w:rPr>
                <w:rFonts w:ascii="Arial (W1)" w:hAnsi="Arial (W1)"/>
                <w:b/>
                <w:bCs/>
                <w:noProof w:val="0"/>
                <w:sz w:val="26"/>
                <w:szCs w:val="26"/>
                <w:rtl/>
              </w:rPr>
            </w:pPr>
          </w:p>
          <w:p w:rsidR="006816EC" w:rsidRPr="00CD0055" w:rsidRDefault="006816EC">
            <w:pPr>
              <w:jc w:val="center"/>
              <w:rPr>
                <w:b/>
                <w:bCs/>
                <w:noProof w:val="0"/>
                <w:sz w:val="26"/>
                <w:szCs w:val="26"/>
                <w:rtl/>
              </w:rPr>
            </w:pPr>
            <w:r w:rsidRPr="00CD0055">
              <w:rPr>
                <w:rFonts w:hint="cs"/>
                <w:b/>
                <w:bCs/>
                <w:noProof w:val="0"/>
                <w:sz w:val="26"/>
                <w:szCs w:val="26"/>
                <w:rtl/>
              </w:rPr>
              <w:t>נגד</w:t>
            </w:r>
          </w:p>
          <w:p w:rsidR="006816EC" w:rsidRPr="00CD0055" w:rsidRDefault="006816EC">
            <w:pPr>
              <w:rPr>
                <w:rFonts w:ascii="Arial (W1)" w:hAnsi="Arial (W1)"/>
                <w:b/>
                <w:bCs/>
                <w:noProof w:val="0"/>
                <w:sz w:val="26"/>
                <w:szCs w:val="26"/>
              </w:rPr>
            </w:pPr>
          </w:p>
        </w:tc>
      </w:tr>
      <w:tr w:rsidR="006816EC" w:rsidRPr="00CD0055" w:rsidTr="006816EC">
        <w:trPr>
          <w:jc w:val="center"/>
        </w:trPr>
        <w:tc>
          <w:tcPr>
            <w:tcW w:w="3249" w:type="dxa"/>
            <w:gridSpan w:val="2"/>
          </w:tcPr>
          <w:p w:rsidR="006816EC" w:rsidRPr="00CD0055" w:rsidRDefault="006816EC">
            <w:pPr>
              <w:rPr>
                <w:rFonts w:ascii="Arial (W1)" w:hAnsi="Arial (W1)"/>
                <w:b/>
                <w:bCs/>
                <w:noProof w:val="0"/>
                <w:sz w:val="26"/>
                <w:szCs w:val="26"/>
                <w:rtl/>
              </w:rPr>
            </w:pPr>
          </w:p>
          <w:p w:rsidR="006816EC" w:rsidRPr="00CD0055" w:rsidRDefault="00C20E2E">
            <w:pPr>
              <w:rPr>
                <w:rFonts w:ascii="Arial (W1)" w:hAnsi="Arial (W1)"/>
                <w:b/>
                <w:bCs/>
                <w:noProof w:val="0"/>
                <w:sz w:val="26"/>
                <w:szCs w:val="26"/>
              </w:rPr>
            </w:pPr>
            <w:sdt>
              <w:sdtPr>
                <w:rPr>
                  <w:rFonts w:hint="cs"/>
                  <w:sz w:val="26"/>
                  <w:szCs w:val="26"/>
                  <w:rtl/>
                </w:rPr>
                <w:alias w:val="1184"/>
                <w:tag w:val="1184"/>
                <w:id w:val="-910234160"/>
                <w:text w:multiLine="1"/>
              </w:sdtPr>
              <w:sdtEndPr/>
              <w:sdtContent>
                <w:r w:rsidR="006B5553">
                  <w:rPr>
                    <w:rFonts w:hint="cs"/>
                    <w:b/>
                    <w:bCs/>
                    <w:noProof w:val="0"/>
                    <w:sz w:val="26"/>
                    <w:szCs w:val="26"/>
                    <w:rtl/>
                  </w:rPr>
                  <w:t>משיבים</w:t>
                </w:r>
              </w:sdtContent>
            </w:sdt>
          </w:p>
        </w:tc>
        <w:tc>
          <w:tcPr>
            <w:tcW w:w="5571" w:type="dxa"/>
          </w:tcPr>
          <w:p w:rsidR="006816EC" w:rsidRPr="00CD0055" w:rsidRDefault="006816EC">
            <w:pPr>
              <w:rPr>
                <w:rFonts w:ascii="Arial (W1)" w:hAnsi="Arial (W1)"/>
                <w:b/>
                <w:bCs/>
                <w:noProof w:val="0"/>
                <w:sz w:val="26"/>
                <w:szCs w:val="26"/>
                <w:rtl/>
              </w:rPr>
            </w:pPr>
          </w:p>
          <w:p w:rsidR="00295DD1" w:rsidRDefault="00C20E2E" w:rsidP="00542A11">
            <w:pPr>
              <w:rPr>
                <w:sz w:val="26"/>
                <w:szCs w:val="26"/>
                <w:rtl/>
              </w:rPr>
            </w:pPr>
            <w:sdt>
              <w:sdtPr>
                <w:rPr>
                  <w:rFonts w:ascii="David" w:hAnsi="David"/>
                  <w:sz w:val="26"/>
                  <w:szCs w:val="26"/>
                  <w:rtl/>
                </w:rPr>
                <w:alias w:val="1486"/>
                <w:tag w:val="1486"/>
                <w:id w:val="1487590763"/>
                <w:text w:multiLine="1"/>
              </w:sdtPr>
              <w:sdtEndPr/>
              <w:sdtContent>
                <w:r w:rsidR="006B5553" w:rsidRPr="00542A11">
                  <w:rPr>
                    <w:rFonts w:ascii="David" w:hAnsi="David"/>
                    <w:b/>
                    <w:bCs/>
                    <w:noProof w:val="0"/>
                    <w:sz w:val="26"/>
                    <w:szCs w:val="26"/>
                    <w:rtl/>
                  </w:rPr>
                  <w:t xml:space="preserve">מועצה אזורית </w:t>
                </w:r>
                <w:r w:rsidR="00542A11">
                  <w:rPr>
                    <w:rFonts w:ascii="David" w:hAnsi="David" w:hint="cs"/>
                    <w:b/>
                    <w:bCs/>
                    <w:noProof w:val="0"/>
                    <w:sz w:val="26"/>
                    <w:szCs w:val="26"/>
                    <w:rtl/>
                  </w:rPr>
                  <w:t>עמק חפר</w:t>
                </w:r>
              </w:sdtContent>
            </w:sdt>
          </w:p>
          <w:p w:rsidR="006816EC" w:rsidRPr="002939D4" w:rsidRDefault="00295DD1">
            <w:pPr>
              <w:rPr>
                <w:rFonts w:ascii="Arial (W1)" w:hAnsi="Arial (W1)"/>
                <w:noProof w:val="0"/>
              </w:rPr>
            </w:pPr>
            <w:r w:rsidRPr="002939D4">
              <w:rPr>
                <w:rFonts w:hint="cs"/>
                <w:rtl/>
              </w:rPr>
              <w:t>ע"י ב"כ עו"ד</w:t>
            </w:r>
            <w:r w:rsidR="002939D4" w:rsidRPr="002939D4">
              <w:rPr>
                <w:rFonts w:ascii="Arial (W1)" w:hAnsi="Arial (W1)" w:hint="cs"/>
                <w:noProof w:val="0"/>
                <w:rtl/>
              </w:rPr>
              <w:t xml:space="preserve"> סיון בצלאל גל</w:t>
            </w: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2939D4" w:rsidRDefault="002939D4" w:rsidP="00302639">
      <w:pPr>
        <w:spacing w:line="360" w:lineRule="auto"/>
        <w:jc w:val="both"/>
        <w:rPr>
          <w:rtl/>
        </w:rPr>
      </w:pPr>
      <w:r>
        <w:rPr>
          <w:rtl/>
        </w:rPr>
        <w:t>ערעור לפי סעיף 2(ט)(1) לחוק שירותי הסעד, תשי"ח -1958 (</w:t>
      </w:r>
      <w:r>
        <w:rPr>
          <w:b/>
          <w:bCs/>
          <w:rtl/>
        </w:rPr>
        <w:t>חוק הסעד</w:t>
      </w:r>
      <w:r>
        <w:rPr>
          <w:rtl/>
        </w:rPr>
        <w:t>), על החלטת ועדת הערר מחוז תל אביב והמרכז מיום 21.11.22</w:t>
      </w:r>
      <w:r w:rsidR="00AD42DC">
        <w:rPr>
          <w:rFonts w:hint="cs"/>
          <w:rtl/>
        </w:rPr>
        <w:t xml:space="preserve"> (</w:t>
      </w:r>
      <w:r w:rsidR="00302639">
        <w:rPr>
          <w:rFonts w:hint="cs"/>
          <w:rtl/>
        </w:rPr>
        <w:t>נספח 1 לערעור,</w:t>
      </w:r>
      <w:r w:rsidR="00302639" w:rsidRPr="00302639">
        <w:rPr>
          <w:rFonts w:hint="cs"/>
          <w:rtl/>
        </w:rPr>
        <w:t xml:space="preserve"> להלן: </w:t>
      </w:r>
      <w:r w:rsidR="00AD42DC" w:rsidRPr="00AD42DC">
        <w:rPr>
          <w:rFonts w:hint="cs"/>
          <w:b/>
          <w:bCs/>
          <w:rtl/>
        </w:rPr>
        <w:t>החלטת ועדת הערר</w:t>
      </w:r>
      <w:r w:rsidR="00AD42DC">
        <w:rPr>
          <w:rFonts w:hint="cs"/>
          <w:rtl/>
        </w:rPr>
        <w:t>).</w:t>
      </w:r>
    </w:p>
    <w:p w:rsidR="00AD42DC" w:rsidRDefault="00AD42DC" w:rsidP="00AD42DC">
      <w:pPr>
        <w:spacing w:line="360" w:lineRule="auto"/>
        <w:jc w:val="both"/>
        <w:rPr>
          <w:rtl/>
        </w:rPr>
      </w:pPr>
    </w:p>
    <w:p w:rsidR="002939D4" w:rsidRDefault="002939D4" w:rsidP="00AD42DC">
      <w:pPr>
        <w:spacing w:line="360" w:lineRule="auto"/>
        <w:jc w:val="both"/>
        <w:rPr>
          <w:rtl/>
        </w:rPr>
      </w:pPr>
      <w:r>
        <w:rPr>
          <w:rtl/>
        </w:rPr>
        <w:t xml:space="preserve">המערער מבקש (לפי האמור בפתח הערעור) כי בית משפט זה יקבל את הערעור על החלטת ועדת הערר, ויורה </w:t>
      </w:r>
      <w:r>
        <w:rPr>
          <w:b/>
          <w:bCs/>
          <w:rtl/>
        </w:rPr>
        <w:t xml:space="preserve">"על העברת מינוי עובדת סוציאלית לסדר דין למועצה מקומית </w:t>
      </w:r>
      <w:r w:rsidR="00542A11">
        <w:rPr>
          <w:rFonts w:hint="cs"/>
          <w:b/>
          <w:bCs/>
          <w:rtl/>
        </w:rPr>
        <w:t>אל</w:t>
      </w:r>
      <w:r w:rsidR="00AD42DC">
        <w:rPr>
          <w:rFonts w:hint="cs"/>
          <w:b/>
          <w:bCs/>
          <w:rtl/>
        </w:rPr>
        <w:t>יכין</w:t>
      </w:r>
      <w:r>
        <w:rPr>
          <w:b/>
          <w:bCs/>
          <w:rtl/>
        </w:rPr>
        <w:t>"</w:t>
      </w:r>
      <w:r>
        <w:rPr>
          <w:rtl/>
        </w:rPr>
        <w:t xml:space="preserve"> (במקום </w:t>
      </w:r>
      <w:r w:rsidR="00542A11">
        <w:rPr>
          <w:rFonts w:hint="cs"/>
          <w:rtl/>
        </w:rPr>
        <w:t>של זו המשיבה,</w:t>
      </w:r>
      <w:r>
        <w:rPr>
          <w:rtl/>
        </w:rPr>
        <w:t xml:space="preserve"> כהחלטת מחלקת הרווחה וועדת הערר) או כי </w:t>
      </w:r>
      <w:r>
        <w:rPr>
          <w:b/>
          <w:bCs/>
          <w:rtl/>
        </w:rPr>
        <w:t>"מינוי עו"ס לסדר דין פרטית, שתמונה בפועל, לאלתר, יענה על החלטת המינוי של ביהמ"ש לענייני משפחה"</w:t>
      </w:r>
      <w:r>
        <w:rPr>
          <w:rtl/>
        </w:rPr>
        <w:t xml:space="preserve">; וכן יורה </w:t>
      </w:r>
      <w:r>
        <w:rPr>
          <w:b/>
          <w:bCs/>
          <w:rtl/>
        </w:rPr>
        <w:t>"על ביטול החלטת ועדת התכנון והטיפול מה- 7.9.22, ככל שהחלטה זו אינה מוסכמת על המערער"</w:t>
      </w:r>
      <w:r>
        <w:rPr>
          <w:rtl/>
        </w:rPr>
        <w:t xml:space="preserve">. </w:t>
      </w:r>
    </w:p>
    <w:p w:rsidR="005F5FAB" w:rsidRDefault="005F5FAB" w:rsidP="005F5FAB">
      <w:pPr>
        <w:rPr>
          <w:b/>
          <w:bCs/>
          <w:u w:val="single"/>
          <w:rtl/>
        </w:rPr>
      </w:pPr>
    </w:p>
    <w:p w:rsidR="002939D4" w:rsidRDefault="002939D4" w:rsidP="005F5FAB">
      <w:pPr>
        <w:rPr>
          <w:b/>
          <w:bCs/>
          <w:u w:val="single"/>
          <w:rtl/>
        </w:rPr>
      </w:pPr>
      <w:r>
        <w:rPr>
          <w:b/>
          <w:bCs/>
          <w:u w:val="single"/>
          <w:rtl/>
        </w:rPr>
        <w:br/>
        <w:t>רקע כללי ותיאור הליכים קודמים הקשורים בעניין</w:t>
      </w:r>
    </w:p>
    <w:p w:rsidR="002939D4" w:rsidRDefault="002939D4" w:rsidP="005F5FAB">
      <w:pPr>
        <w:rPr>
          <w:b/>
          <w:bCs/>
          <w:u w:val="single"/>
          <w:rtl/>
        </w:rPr>
      </w:pPr>
    </w:p>
    <w:p w:rsidR="002939D4" w:rsidRDefault="002939D4" w:rsidP="00FF7364">
      <w:pPr>
        <w:pStyle w:val="ad"/>
        <w:numPr>
          <w:ilvl w:val="0"/>
          <w:numId w:val="2"/>
        </w:numPr>
        <w:spacing w:after="0"/>
        <w:ind w:left="509" w:right="0" w:hanging="567"/>
        <w:rPr>
          <w:rtl/>
        </w:rPr>
      </w:pPr>
      <w:r>
        <w:rPr>
          <w:rtl/>
        </w:rPr>
        <w:t xml:space="preserve">עד לחודש יוני 2022 טיפלה במערער ובילדיו מחלקת הרווחה של </w:t>
      </w:r>
      <w:r w:rsidR="00542A11">
        <w:rPr>
          <w:rFonts w:hint="cs"/>
          <w:rtl/>
        </w:rPr>
        <w:t>ה</w:t>
      </w:r>
      <w:r>
        <w:rPr>
          <w:rtl/>
        </w:rPr>
        <w:t xml:space="preserve">מועצה האזורית מנשה שאליה הועבר הטיפול מעיריית </w:t>
      </w:r>
      <w:r w:rsidR="00542A11" w:rsidRPr="00542A11">
        <w:rPr>
          <w:rFonts w:hint="cs"/>
          <w:sz w:val="22"/>
          <w:szCs w:val="22"/>
        </w:rPr>
        <w:t>XXXX</w:t>
      </w:r>
      <w:r>
        <w:rPr>
          <w:rtl/>
        </w:rPr>
        <w:t xml:space="preserve">. במסגרת </w:t>
      </w:r>
      <w:r>
        <w:rPr>
          <w:b/>
          <w:bCs/>
          <w:rtl/>
        </w:rPr>
        <w:t>בג"ץ 3946/22</w:t>
      </w:r>
      <w:r>
        <w:rPr>
          <w:rtl/>
        </w:rPr>
        <w:t xml:space="preserve"> שהגיש המערער ביום 12.6.22 כנגד </w:t>
      </w:r>
      <w:r w:rsidR="00AD42DC">
        <w:rPr>
          <w:rtl/>
        </w:rPr>
        <w:t>משרד הרווחה והשירותים החברתיים (</w:t>
      </w:r>
      <w:r w:rsidR="00AD42DC">
        <w:rPr>
          <w:b/>
          <w:bCs/>
          <w:rtl/>
        </w:rPr>
        <w:t>המשרד</w:t>
      </w:r>
      <w:r w:rsidR="00AD42DC">
        <w:rPr>
          <w:rtl/>
        </w:rPr>
        <w:t>)</w:t>
      </w:r>
      <w:r>
        <w:rPr>
          <w:rtl/>
        </w:rPr>
        <w:t xml:space="preserve"> וכנגד גרושתו</w:t>
      </w:r>
      <w:r w:rsidR="00FF7364">
        <w:rPr>
          <w:rFonts w:hint="cs"/>
          <w:rtl/>
        </w:rPr>
        <w:t xml:space="preserve"> </w:t>
      </w:r>
      <w:r w:rsidR="00FF7364">
        <w:rPr>
          <w:rtl/>
        </w:rPr>
        <w:t>(</w:t>
      </w:r>
      <w:r w:rsidR="00FF7364">
        <w:rPr>
          <w:b/>
          <w:bCs/>
          <w:rtl/>
        </w:rPr>
        <w:t>העתירה הראשונה</w:t>
      </w:r>
      <w:r w:rsidR="00FF7364">
        <w:rPr>
          <w:rtl/>
        </w:rPr>
        <w:t>)</w:t>
      </w:r>
      <w:r>
        <w:rPr>
          <w:rtl/>
        </w:rPr>
        <w:t>, עתר המערער כי בג"צ יורה למשרד ליתן טעם</w:t>
      </w:r>
      <w:r>
        <w:rPr>
          <w:b/>
          <w:bCs/>
          <w:rtl/>
        </w:rPr>
        <w:t>, מדוע לא יעביר את הטיפול בעניינו מהמחלקה לשירותים חברתיים של המועצה האזורית מנשה, למחלקה לשירותים חברתיים של המועצה האזורית עמק חפר או לחילופין למועצה המקומית אליכין או למועצה האזורית לב השרון</w:t>
      </w:r>
      <w:r>
        <w:rPr>
          <w:rtl/>
        </w:rPr>
        <w:t xml:space="preserve">. </w:t>
      </w:r>
    </w:p>
    <w:p w:rsidR="002939D4" w:rsidRDefault="002939D4" w:rsidP="00B61772">
      <w:pPr>
        <w:spacing w:line="360" w:lineRule="auto"/>
        <w:ind w:left="-58"/>
      </w:pPr>
    </w:p>
    <w:p w:rsidR="002939D4" w:rsidRDefault="002939D4" w:rsidP="005F5FAB">
      <w:pPr>
        <w:pStyle w:val="ad"/>
        <w:numPr>
          <w:ilvl w:val="0"/>
          <w:numId w:val="2"/>
        </w:numPr>
        <w:spacing w:after="0"/>
        <w:ind w:left="509" w:right="0" w:hanging="567"/>
        <w:rPr>
          <w:rtl/>
        </w:rPr>
      </w:pPr>
      <w:r w:rsidRPr="00FF7364">
        <w:rPr>
          <w:b/>
          <w:bCs/>
          <w:rtl/>
        </w:rPr>
        <w:t>בפסק דין</w:t>
      </w:r>
      <w:r>
        <w:rPr>
          <w:b/>
          <w:bCs/>
          <w:rtl/>
        </w:rPr>
        <w:t xml:space="preserve"> מיום 12.07.2022</w:t>
      </w:r>
      <w:r>
        <w:rPr>
          <w:rtl/>
        </w:rPr>
        <w:t xml:space="preserve"> </w:t>
      </w:r>
      <w:r>
        <w:rPr>
          <w:b/>
          <w:bCs/>
          <w:rtl/>
        </w:rPr>
        <w:t>שניתן בעתירה הראשונה</w:t>
      </w:r>
      <w:r>
        <w:rPr>
          <w:rtl/>
        </w:rPr>
        <w:t xml:space="preserve">, </w:t>
      </w:r>
      <w:r w:rsidR="00FF7364">
        <w:rPr>
          <w:rFonts w:hint="cs"/>
          <w:rtl/>
        </w:rPr>
        <w:t>נמחקה העתירה מהטעם</w:t>
      </w:r>
      <w:r>
        <w:rPr>
          <w:rtl/>
        </w:rPr>
        <w:t xml:space="preserve"> </w:t>
      </w:r>
      <w:r w:rsidR="00FF7364">
        <w:rPr>
          <w:rFonts w:hint="cs"/>
          <w:rtl/>
        </w:rPr>
        <w:t>ש</w:t>
      </w:r>
      <w:r>
        <w:rPr>
          <w:rtl/>
        </w:rPr>
        <w:t>מיצתה את עצמה</w:t>
      </w:r>
      <w:r w:rsidR="00FF7364">
        <w:rPr>
          <w:rFonts w:hint="cs"/>
          <w:rtl/>
        </w:rPr>
        <w:t>, שעה ש</w:t>
      </w:r>
      <w:r>
        <w:rPr>
          <w:rtl/>
        </w:rPr>
        <w:t xml:space="preserve">הוחלט להעביר את הטיפול למועצה אזורית עמק חפר (כבקשתו הראשונה של המערער במסגרת עתירה). כפי שצוין בפסק הדין, הרקע להגשת העתירה הוא </w:t>
      </w:r>
      <w:r w:rsidR="00FF7364">
        <w:rPr>
          <w:rFonts w:hint="cs"/>
          <w:rtl/>
        </w:rPr>
        <w:t xml:space="preserve">טענת המערער </w:t>
      </w:r>
      <w:r>
        <w:rPr>
          <w:rtl/>
        </w:rPr>
        <w:lastRenderedPageBreak/>
        <w:t xml:space="preserve">כי </w:t>
      </w:r>
      <w:r w:rsidR="00FF7364">
        <w:rPr>
          <w:rFonts w:hint="cs"/>
          <w:rtl/>
        </w:rPr>
        <w:t>בשל כך ש</w:t>
      </w:r>
      <w:r>
        <w:rPr>
          <w:rtl/>
        </w:rPr>
        <w:t xml:space="preserve">גרושתו </w:t>
      </w:r>
      <w:r w:rsidR="005F5FAB">
        <w:rPr>
          <w:rFonts w:hint="cs"/>
          <w:rtl/>
        </w:rPr>
        <w:t xml:space="preserve">שהיא </w:t>
      </w:r>
      <w:r>
        <w:rPr>
          <w:rtl/>
        </w:rPr>
        <w:t xml:space="preserve">עו"ס במקצועה, מועסקת על ידי גוף פרטי הפועל בתחום הרווחה במחוז הצפון, </w:t>
      </w:r>
      <w:r w:rsidR="00FF7364">
        <w:rPr>
          <w:rFonts w:hint="cs"/>
          <w:rtl/>
        </w:rPr>
        <w:t>נגועות</w:t>
      </w:r>
      <w:r>
        <w:rPr>
          <w:rtl/>
        </w:rPr>
        <w:t xml:space="preserve"> ההחלטות המתקבלות בעניינו במחוז זה, במשוא פנים. בתשובת המדינה לבקש</w:t>
      </w:r>
      <w:r w:rsidR="00A60CD8">
        <w:rPr>
          <w:rFonts w:hint="cs"/>
          <w:rtl/>
        </w:rPr>
        <w:t>ת המערער</w:t>
      </w:r>
      <w:r>
        <w:rPr>
          <w:rtl/>
        </w:rPr>
        <w:t xml:space="preserve"> לצו הביניים צוין, בין היתר, כי </w:t>
      </w:r>
      <w:r w:rsidR="00FF7364">
        <w:rPr>
          <w:rFonts w:hint="cs"/>
          <w:rtl/>
        </w:rPr>
        <w:t>ל</w:t>
      </w:r>
      <w:r>
        <w:rPr>
          <w:rtl/>
        </w:rPr>
        <w:t xml:space="preserve">אחרונה </w:t>
      </w:r>
      <w:r w:rsidR="00A60CD8">
        <w:rPr>
          <w:rFonts w:hint="cs"/>
          <w:rtl/>
        </w:rPr>
        <w:t>ב</w:t>
      </w:r>
      <w:r>
        <w:rPr>
          <w:rtl/>
        </w:rPr>
        <w:t>טרם הגשת העתירה, החליט המש</w:t>
      </w:r>
      <w:r w:rsidR="005F5FAB">
        <w:rPr>
          <w:rFonts w:hint="cs"/>
          <w:rtl/>
        </w:rPr>
        <w:t>רד</w:t>
      </w:r>
      <w:r>
        <w:rPr>
          <w:rtl/>
        </w:rPr>
        <w:t xml:space="preserve"> להעביר את הטיפול בעניינו של העותר למועצה אזורית עמק חפר ומשכך, העתירה והבקשה התייתרו ודינן מחיקה. ואולם העותר הגיש כבר בליל אותו יום בקשה לצו מוחלט, וביקש כי הטיפול יועבר למועצה המקומית אליכין, כבקשתו החלופית. בג"ץ דחה את העתירה בזו הלשון:</w:t>
      </w:r>
    </w:p>
    <w:p w:rsidR="002939D4" w:rsidRDefault="002939D4" w:rsidP="002939D4">
      <w:pPr>
        <w:spacing w:line="276" w:lineRule="auto"/>
        <w:ind w:left="1076" w:right="851"/>
        <w:jc w:val="both"/>
        <w:rPr>
          <w:rtl/>
        </w:rPr>
      </w:pPr>
      <w:r>
        <w:rPr>
          <w:rtl/>
        </w:rPr>
        <w:br/>
        <w:t>"</w:t>
      </w:r>
      <w:r>
        <w:rPr>
          <w:b/>
          <w:bCs/>
          <w:rtl/>
        </w:rPr>
        <w:t>למקרא העתירה ותגובות המשיבים, באתי לכלל מסקנה כי דין העתירה להימחק. אכן, כטענת המשיב, עניינה העיקרי של העתירה עוסק במחוז שבו מתנהל עניינו של העותר. על כן, משעה שהוחלט להעביר את הטיפול בעניינו למחוז מרכז, במועצה אזורית עמק חפר, חלף מחוז צפון, במועצה אזורית מנשה, העתירה מיצתה את עצמה, ודאי במתכונתה הנוכחית, ודינה להימחק. אמנם, העותר מבקש כי  נורה על העברת עניינו לטיפול המועצה המקומית אליכין, אך נוכח ההחלטה החדשה שניתנה עתה בעניינו, לא ראיתי מקום להוסיף ולברר את טענותיו.</w:t>
      </w:r>
      <w:r>
        <w:rPr>
          <w:rtl/>
        </w:rPr>
        <w:t xml:space="preserve"> </w:t>
      </w:r>
      <w:r>
        <w:rPr>
          <w:b/>
          <w:bCs/>
          <w:rtl/>
        </w:rPr>
        <w:t>ככל שבפיו טענות כלפי החלטה זו, עליו למצות את ההליכים מחוץ לכותלי בית המשפט, כנדרש וכמתחייב"</w:t>
      </w:r>
      <w:r>
        <w:rPr>
          <w:rtl/>
        </w:rPr>
        <w:t xml:space="preserve">. </w:t>
      </w:r>
    </w:p>
    <w:p w:rsidR="002939D4" w:rsidRDefault="002939D4" w:rsidP="00B61772">
      <w:pPr>
        <w:pStyle w:val="ad"/>
        <w:spacing w:after="0"/>
      </w:pPr>
    </w:p>
    <w:p w:rsidR="002939D4" w:rsidRDefault="002939D4" w:rsidP="00C67545">
      <w:pPr>
        <w:pStyle w:val="ad"/>
        <w:numPr>
          <w:ilvl w:val="0"/>
          <w:numId w:val="2"/>
        </w:numPr>
        <w:spacing w:after="0"/>
        <w:ind w:left="509" w:right="0" w:hanging="567"/>
        <w:rPr>
          <w:rtl/>
        </w:rPr>
      </w:pPr>
      <w:r>
        <w:rPr>
          <w:rtl/>
        </w:rPr>
        <w:t xml:space="preserve">הליך שני באותו עניין </w:t>
      </w:r>
      <w:r w:rsidR="00A60CD8">
        <w:rPr>
          <w:rtl/>
        </w:rPr>
        <w:t>נפתח על ידי גרושתו של המערער</w:t>
      </w:r>
      <w:r w:rsidR="00A60CD8">
        <w:rPr>
          <w:rFonts w:hint="cs"/>
          <w:rtl/>
        </w:rPr>
        <w:t>,</w:t>
      </w:r>
      <w:r w:rsidR="00A60CD8">
        <w:rPr>
          <w:rtl/>
        </w:rPr>
        <w:t xml:space="preserve"> </w:t>
      </w:r>
      <w:r w:rsidR="00A60CD8">
        <w:rPr>
          <w:rFonts w:hint="cs"/>
          <w:rtl/>
        </w:rPr>
        <w:t>ו</w:t>
      </w:r>
      <w:r>
        <w:rPr>
          <w:rtl/>
        </w:rPr>
        <w:t>הפעם כנגד ההחלטה להעביר את הטיפול בעניינו של המערער וילדיהם המשותפים למחלקה בעמק חפר (</w:t>
      </w:r>
      <w:r>
        <w:rPr>
          <w:b/>
          <w:bCs/>
          <w:rtl/>
        </w:rPr>
        <w:t>החלטת ההשתייכות</w:t>
      </w:r>
      <w:r w:rsidR="00A60CD8">
        <w:rPr>
          <w:rFonts w:hint="cs"/>
          <w:b/>
          <w:bCs/>
          <w:rtl/>
        </w:rPr>
        <w:t>)</w:t>
      </w:r>
      <w:r>
        <w:rPr>
          <w:rtl/>
        </w:rPr>
        <w:t xml:space="preserve">. </w:t>
      </w:r>
      <w:r>
        <w:rPr>
          <w:b/>
          <w:bCs/>
          <w:rtl/>
        </w:rPr>
        <w:t>בבג"ץ 4887/22</w:t>
      </w:r>
      <w:r>
        <w:rPr>
          <w:rtl/>
        </w:rPr>
        <w:t xml:space="preserve"> שה</w:t>
      </w:r>
      <w:r w:rsidR="00C67545">
        <w:rPr>
          <w:rFonts w:hint="cs"/>
          <w:rtl/>
        </w:rPr>
        <w:t>ו</w:t>
      </w:r>
      <w:r>
        <w:rPr>
          <w:rtl/>
        </w:rPr>
        <w:t xml:space="preserve">גש כנגד המשרד </w:t>
      </w:r>
      <w:r w:rsidR="00C67545">
        <w:rPr>
          <w:rFonts w:hint="cs"/>
          <w:rtl/>
        </w:rPr>
        <w:t>ו</w:t>
      </w:r>
      <w:r>
        <w:rPr>
          <w:rtl/>
        </w:rPr>
        <w:t>המערער היה משיב ל</w:t>
      </w:r>
      <w:r w:rsidR="00C67545">
        <w:rPr>
          <w:rFonts w:hint="cs"/>
          <w:rtl/>
        </w:rPr>
        <w:t>ו</w:t>
      </w:r>
      <w:r>
        <w:rPr>
          <w:rtl/>
        </w:rPr>
        <w:t>, טענה האחרונה כי החלטת ההשתייכות תסב לילדים נזק והיא לוקה בחוסר סבירות</w:t>
      </w:r>
      <w:r w:rsidR="00A60CD8">
        <w:rPr>
          <w:rFonts w:hint="cs"/>
          <w:rtl/>
        </w:rPr>
        <w:t xml:space="preserve"> (</w:t>
      </w:r>
      <w:r w:rsidR="00A60CD8" w:rsidRPr="00A60CD8">
        <w:rPr>
          <w:rFonts w:hint="cs"/>
          <w:b/>
          <w:bCs/>
          <w:rtl/>
        </w:rPr>
        <w:t>העתירה השנ</w:t>
      </w:r>
      <w:r w:rsidR="00A60CD8">
        <w:rPr>
          <w:rFonts w:hint="cs"/>
          <w:b/>
          <w:bCs/>
          <w:rtl/>
        </w:rPr>
        <w:t>י</w:t>
      </w:r>
      <w:r w:rsidR="00A60CD8" w:rsidRPr="00A60CD8">
        <w:rPr>
          <w:rFonts w:hint="cs"/>
          <w:b/>
          <w:bCs/>
          <w:rtl/>
        </w:rPr>
        <w:t>יה</w:t>
      </w:r>
      <w:r w:rsidR="00A60CD8">
        <w:rPr>
          <w:rFonts w:hint="cs"/>
          <w:rtl/>
        </w:rPr>
        <w:t>)</w:t>
      </w:r>
      <w:r>
        <w:rPr>
          <w:rtl/>
        </w:rPr>
        <w:t xml:space="preserve">. </w:t>
      </w:r>
      <w:r>
        <w:rPr>
          <w:b/>
          <w:bCs/>
          <w:rtl/>
        </w:rPr>
        <w:t>בפסק הדין מיום 17.8.22 שניתן בעתירה השנייה</w:t>
      </w:r>
      <w:r>
        <w:rPr>
          <w:rtl/>
        </w:rPr>
        <w:t>, נדחתה העתירה בהעדר עילה להתערבות (לאחר שהוגשו תגובות מקדמיות של המשיבים). כך נקבע בפסק הדין:</w:t>
      </w:r>
    </w:p>
    <w:p w:rsidR="002939D4" w:rsidRDefault="002939D4" w:rsidP="002939D4">
      <w:pPr>
        <w:spacing w:line="276" w:lineRule="auto"/>
        <w:ind w:left="1218" w:right="851"/>
        <w:jc w:val="both"/>
      </w:pPr>
      <w:r>
        <w:rPr>
          <w:rtl/>
        </w:rPr>
        <w:br/>
        <w:t>"</w:t>
      </w:r>
      <w:r>
        <w:rPr>
          <w:b/>
          <w:bCs/>
          <w:rtl/>
        </w:rPr>
        <w:t>לאחר שעיינו בעתירה ובתגובה לה, באנו לכלל מסקנה כי דינה להידחות. ההחלטה של הגורמים המקצועיים במשרד הרווחה להעביר את הטיפול בקטינים למחלקה אחרת, היא החלטה סבירה, המצויה בתחום מומחיותה של הרשות, ומשהעותרת לא הצביעה על פגם שנפל בה, לא קמה עילה להתערבותנו ... בקשר לכך מצאנו לשוב ולהדגיש כי החלטה של רשות כיצד להקצות את משאביה היא החלטה המצויה בלב שיקול דעתה</w:t>
      </w:r>
      <w:r>
        <w:rPr>
          <w:rtl/>
        </w:rPr>
        <w:t xml:space="preserve">" (פסקה 9). </w:t>
      </w:r>
    </w:p>
    <w:p w:rsidR="002939D4" w:rsidRDefault="002939D4" w:rsidP="00A60CD8">
      <w:pPr>
        <w:spacing w:line="360" w:lineRule="auto"/>
        <w:ind w:left="-58"/>
        <w:jc w:val="both"/>
      </w:pPr>
    </w:p>
    <w:p w:rsidR="002939D4" w:rsidRDefault="002939D4" w:rsidP="005F5FAB">
      <w:pPr>
        <w:pStyle w:val="ad"/>
        <w:numPr>
          <w:ilvl w:val="0"/>
          <w:numId w:val="2"/>
        </w:numPr>
        <w:spacing w:after="0"/>
        <w:ind w:left="509" w:right="0" w:hanging="567"/>
        <w:rPr>
          <w:rtl/>
        </w:rPr>
      </w:pPr>
      <w:r>
        <w:rPr>
          <w:rtl/>
        </w:rPr>
        <w:t>בפסק הדין בעתירה השנייה מציין בית המשפט, כי החלטת ההשתייכות אשר מתוארכת ליום 2.6.22 (ונמסרה לעותרת ביום 10.7.22) - היא ההחלטה אשר עליה הודיע המש</w:t>
      </w:r>
      <w:r w:rsidR="005F5FAB">
        <w:rPr>
          <w:rFonts w:hint="cs"/>
          <w:rtl/>
        </w:rPr>
        <w:t>רד</w:t>
      </w:r>
      <w:r>
        <w:rPr>
          <w:rtl/>
        </w:rPr>
        <w:t xml:space="preserve"> כבר במסגרת תגובתו לעתירה הראשונה. הובהר עוד כי ההחלטה התקבלה, בין היתר,</w:t>
      </w:r>
      <w:r>
        <w:rPr>
          <w:b/>
          <w:bCs/>
          <w:rtl/>
        </w:rPr>
        <w:t xml:space="preserve"> "נוכח </w:t>
      </w:r>
      <w:r>
        <w:rPr>
          <w:b/>
          <w:bCs/>
          <w:rtl/>
        </w:rPr>
        <w:lastRenderedPageBreak/>
        <w:t>התרחבות קשריה המקצועיים של העותרת, עובדת סוציאלית במקצועה, עם המחלקה בעיר מגוריה, וכן נוכח צורך במתן טפול מקיף ומשמעותי יותר למשפחה"</w:t>
      </w:r>
      <w:r>
        <w:rPr>
          <w:rtl/>
        </w:rPr>
        <w:t xml:space="preserve">, </w:t>
      </w:r>
      <w:r>
        <w:rPr>
          <w:b/>
          <w:bCs/>
          <w:rtl/>
        </w:rPr>
        <w:t>"בשל מורכבות המקרה והמשאבים הרבים הנדרשים לטיפול במשפחה, וכן נוכח העדכון בדבר מקום מגוריו של המשיב</w:t>
      </w:r>
      <w:r>
        <w:rPr>
          <w:rtl/>
        </w:rPr>
        <w:t>". כפי שהובהרה בפסק הדין, לפי החוק, הרשות שבתחום שיפוטה נמצא מקום מגורי ההורים, נושאת בהוצאות סעד או טיפול סוציאלי בילד.</w:t>
      </w:r>
    </w:p>
    <w:p w:rsidR="002939D4" w:rsidRDefault="002939D4" w:rsidP="00B61772">
      <w:pPr>
        <w:spacing w:line="360" w:lineRule="auto"/>
        <w:ind w:left="-58"/>
      </w:pPr>
    </w:p>
    <w:p w:rsidR="002939D4" w:rsidRDefault="002939D4" w:rsidP="00A60CD8">
      <w:pPr>
        <w:pStyle w:val="ad"/>
        <w:numPr>
          <w:ilvl w:val="0"/>
          <w:numId w:val="2"/>
        </w:numPr>
        <w:spacing w:after="0"/>
        <w:ind w:left="509" w:right="0" w:hanging="567"/>
        <w:rPr>
          <w:rtl/>
        </w:rPr>
      </w:pPr>
      <w:r>
        <w:rPr>
          <w:rtl/>
        </w:rPr>
        <w:t>מעיון בהחלטת ההשתייכות (נספח 5 לערעור)</w:t>
      </w:r>
      <w:r>
        <w:rPr>
          <w:rFonts w:hint="cs"/>
        </w:rPr>
        <w:t xml:space="preserve"> </w:t>
      </w:r>
      <w:r>
        <w:rPr>
          <w:rtl/>
        </w:rPr>
        <w:t xml:space="preserve">עולה כי </w:t>
      </w:r>
      <w:r w:rsidR="00C67545">
        <w:rPr>
          <w:rFonts w:hint="cs"/>
          <w:rtl/>
        </w:rPr>
        <w:t xml:space="preserve">זו </w:t>
      </w:r>
      <w:r>
        <w:rPr>
          <w:rtl/>
        </w:rPr>
        <w:t>התקבלה על ידי מנהלת תחום מקרים ארציים והשתייכות במשרד. לפי ההחלטה - מחלקת הרווחה ב</w:t>
      </w:r>
      <w:r w:rsidR="00A60CD8">
        <w:rPr>
          <w:rFonts w:hint="cs"/>
          <w:rtl/>
        </w:rPr>
        <w:t>-</w:t>
      </w:r>
      <w:r w:rsidR="00A60CD8" w:rsidRPr="00A60CD8">
        <w:rPr>
          <w:rFonts w:ascii="David" w:hAnsi="David"/>
          <w:sz w:val="22"/>
          <w:szCs w:val="22"/>
        </w:rPr>
        <w:t>XXXX</w:t>
      </w:r>
      <w:r>
        <w:rPr>
          <w:rtl/>
        </w:rPr>
        <w:t xml:space="preserve"> תמשיך להחזיק בתיק פעיל ביחס לאם (גרושתו של המערער) והילדים, וכי ההשמות לסידורים החוץ ביתיים ימשיכו לצאת ממחלקה זו; ואילו במחלקה במועצה האזורית עמק חפר יפתח תיק עבור האב (המערער) והילדים, וענייני חוק הנוער יטופלו במחלקה בעמק חפר. עוד נקבע כי לצורך הסדרת הטיפול בין שתי המחלקות יש לוודא קיום </w:t>
      </w:r>
      <w:r>
        <w:rPr>
          <w:b/>
          <w:bCs/>
          <w:rtl/>
        </w:rPr>
        <w:t>ועדת תכנון טיפול</w:t>
      </w:r>
      <w:r>
        <w:rPr>
          <w:rtl/>
        </w:rPr>
        <w:t xml:space="preserve"> שתנוהל על ידי המחלקה בעמק חפר בשיתוף שתי המחלקות (עמק חפר ו</w:t>
      </w:r>
      <w:r w:rsidR="00A60CD8">
        <w:rPr>
          <w:rFonts w:hint="cs"/>
          <w:rtl/>
        </w:rPr>
        <w:t xml:space="preserve">- </w:t>
      </w:r>
      <w:r w:rsidR="00A60CD8" w:rsidRPr="00A60CD8">
        <w:rPr>
          <w:rFonts w:ascii="David" w:hAnsi="David"/>
          <w:sz w:val="22"/>
          <w:szCs w:val="22"/>
        </w:rPr>
        <w:t>XXXX</w:t>
      </w:r>
      <w:r>
        <w:rPr>
          <w:rtl/>
        </w:rPr>
        <w:t>).</w:t>
      </w:r>
    </w:p>
    <w:p w:rsidR="002939D4" w:rsidRDefault="002939D4" w:rsidP="00B61772">
      <w:pPr>
        <w:spacing w:line="360" w:lineRule="auto"/>
        <w:ind w:left="-58"/>
      </w:pPr>
    </w:p>
    <w:p w:rsidR="002939D4" w:rsidRDefault="002939D4" w:rsidP="002939D4">
      <w:pPr>
        <w:pStyle w:val="ad"/>
        <w:numPr>
          <w:ilvl w:val="0"/>
          <w:numId w:val="2"/>
        </w:numPr>
        <w:spacing w:after="0"/>
        <w:ind w:left="509" w:right="0" w:hanging="567"/>
        <w:rPr>
          <w:rtl/>
        </w:rPr>
      </w:pPr>
      <w:r>
        <w:rPr>
          <w:rtl/>
        </w:rPr>
        <w:t>כאמור, המערער היה משיב לעתירה השניה. במסגרת פסק הדין נקבע (לאחר שטען בתגובתו לחוסר ניקיון כפיים מצד גרושתו) כי "</w:t>
      </w:r>
      <w:r>
        <w:rPr>
          <w:b/>
          <w:bCs/>
          <w:rtl/>
        </w:rPr>
        <w:t>לא ניתן שלא להוסיף כי אף התנהלותו של המשיב אינה חפה מקשיים. הדברים אמורים בכל הנוגע לשימוש שעשה בהליך זה, שהוא משיב לו, לצורך חזרה על בקשתו להעביר את הטיפול במשפחה למועצה מקומית אחרת, רביעית במספר, וזאת במתכונת שאף אין לה מסגרת דיונית, וראויה להידחות כבר מטעם זה</w:t>
      </w:r>
      <w:r>
        <w:rPr>
          <w:rtl/>
        </w:rPr>
        <w:t xml:space="preserve">" (פסקה 10).  כמתואר שם, המערער הגיש לצד תגובתו בקשה למתן צו ביניים ארעי שימנע את העברת הטיפול בו ובקטינים לעמק חפר, נוכח בקשתו כי הטיפול ייעשה באליכין (פסקה 7). </w:t>
      </w:r>
    </w:p>
    <w:p w:rsidR="002939D4" w:rsidRDefault="002939D4" w:rsidP="00B61772">
      <w:pPr>
        <w:spacing w:line="360" w:lineRule="auto"/>
        <w:ind w:left="-58"/>
        <w:rPr>
          <w:rtl/>
        </w:rPr>
      </w:pPr>
    </w:p>
    <w:p w:rsidR="002939D4" w:rsidRDefault="002939D4" w:rsidP="00B61772">
      <w:pPr>
        <w:pStyle w:val="ad"/>
        <w:numPr>
          <w:ilvl w:val="0"/>
          <w:numId w:val="2"/>
        </w:numPr>
        <w:spacing w:after="0"/>
        <w:ind w:left="509" w:right="0" w:hanging="567"/>
        <w:rPr>
          <w:rtl/>
        </w:rPr>
      </w:pPr>
      <w:r>
        <w:rPr>
          <w:rtl/>
        </w:rPr>
        <w:t xml:space="preserve">לאחר דחיית העתירה השנייה, פנה המערער למשרד </w:t>
      </w:r>
      <w:r>
        <w:rPr>
          <w:b/>
          <w:bCs/>
          <w:rtl/>
        </w:rPr>
        <w:t xml:space="preserve">בבקשה לעיון חוזר בהכרעת ההשתייכות </w:t>
      </w:r>
      <w:r w:rsidRPr="005F5FAB">
        <w:rPr>
          <w:rtl/>
        </w:rPr>
        <w:t>(המכתב נושא תאריך 18.8.22), וביקש כי הטיפול בעניינו ובעניין ילדיו יועבר למועצה</w:t>
      </w:r>
      <w:r>
        <w:rPr>
          <w:rtl/>
        </w:rPr>
        <w:t xml:space="preserve"> המקומית אליכין. המערער טען כי בן משפחתו המיוצג על ידו, מסוכסך קשות עם המועצה האזורית עמק חפר. </w:t>
      </w:r>
      <w:r w:rsidR="00B61772">
        <w:rPr>
          <w:rFonts w:hint="cs"/>
          <w:rtl/>
        </w:rPr>
        <w:t xml:space="preserve">לטענתו שם, </w:t>
      </w:r>
      <w:r>
        <w:rPr>
          <w:rtl/>
        </w:rPr>
        <w:t>נכון ליום הגשת העתירה הראשונה לבג"ץ סבר כי הסכסוך עם המועצה יסתיים בדרכי שלום, אך לא כך היה, ו</w:t>
      </w:r>
      <w:r w:rsidR="00B61772">
        <w:rPr>
          <w:rFonts w:hint="cs"/>
          <w:rtl/>
        </w:rPr>
        <w:t xml:space="preserve">כלשונו: </w:t>
      </w:r>
      <w:r>
        <w:rPr>
          <w:rtl/>
        </w:rPr>
        <w:t xml:space="preserve">אין מקום ליתן למועצה זו "'במה' נוספת להתעלל בי ו/או בבני משפחתי, במיוחד בנושא כה רגיש ואישי". עוד ציין כי התרשם שהמועצה מקומית אליכין אינה מפלה בין תושבים כפי שנוהגת לדבריו עמק חפר; המועצה המקומית אליכין גם קרובה יותר למקום מגורי גרושתו; וכי הוא משער כי המועצה האזורית עמק חפר מתכתבת עם ב"כ גרושתו בלא שהוא מכותב להתכתבות זו בניגוד לדין. </w:t>
      </w:r>
      <w:r>
        <w:rPr>
          <w:rtl/>
        </w:rPr>
        <w:tab/>
      </w:r>
    </w:p>
    <w:p w:rsidR="002939D4" w:rsidRDefault="002939D4" w:rsidP="002939D4">
      <w:pPr>
        <w:ind w:left="-58"/>
      </w:pPr>
    </w:p>
    <w:p w:rsidR="002939D4" w:rsidRDefault="002939D4" w:rsidP="00B61772">
      <w:pPr>
        <w:pStyle w:val="ad"/>
        <w:numPr>
          <w:ilvl w:val="0"/>
          <w:numId w:val="2"/>
        </w:numPr>
        <w:spacing w:after="0"/>
        <w:ind w:left="509" w:right="0" w:hanging="567"/>
        <w:rPr>
          <w:rtl/>
        </w:rPr>
      </w:pPr>
      <w:r>
        <w:rPr>
          <w:rtl/>
        </w:rPr>
        <w:lastRenderedPageBreak/>
        <w:t>הבקשה לעיון חוזר נדחתה במכתב מיום 28.8.22. צוין כי העברת הטיפול לעמק חפר נעשתה לאור מקום מגוריו ובהתאם לתקנות שירותי הסעד (טיפול בנזקקים), תשמ"ו-1986; כי עתירתו לבג"ץ בעניין נדחתה; וכי אין לסכסוך שהזכיר כל קשר למחלקה לשירותים חברתיים. המערער לא אמר נואש, ושב וחזר על בקשתו להעביר את הטיפול לאליכין, טען כי לא קיבל מענה לטענותיו ואף העלה טענות נוספות. המשרד השיב כי לאחר שעיין נוספות, התשובה שניתנה לו עונה על הטענות ואין צורך להוסיף בעניין (פניה מיום 28.8.2022</w:t>
      </w:r>
      <w:r>
        <w:rPr>
          <w:rFonts w:hint="cs"/>
        </w:rPr>
        <w:t xml:space="preserve"> </w:t>
      </w:r>
      <w:r>
        <w:rPr>
          <w:rtl/>
        </w:rPr>
        <w:t>ותשובה מיום 31.8.2022).</w:t>
      </w:r>
    </w:p>
    <w:p w:rsidR="002939D4" w:rsidRDefault="002939D4" w:rsidP="00B61772">
      <w:pPr>
        <w:spacing w:line="360" w:lineRule="auto"/>
        <w:ind w:left="-58"/>
      </w:pPr>
    </w:p>
    <w:p w:rsidR="002939D4" w:rsidRDefault="002939D4" w:rsidP="00C67545">
      <w:pPr>
        <w:pStyle w:val="ad"/>
        <w:numPr>
          <w:ilvl w:val="0"/>
          <w:numId w:val="2"/>
        </w:numPr>
        <w:spacing w:after="0"/>
        <w:ind w:left="509" w:right="0" w:hanging="567"/>
        <w:rPr>
          <w:rtl/>
        </w:rPr>
      </w:pPr>
      <w:r>
        <w:rPr>
          <w:rtl/>
        </w:rPr>
        <w:t>בנוסף ביום 5.9.22 פתח המערער בהליך נוסף, שלישי במספר באותו עניין, ב</w:t>
      </w:r>
      <w:r>
        <w:rPr>
          <w:b/>
          <w:bCs/>
          <w:rtl/>
        </w:rPr>
        <w:t>בג"ץ 5850/22</w:t>
      </w:r>
      <w:r>
        <w:rPr>
          <w:rtl/>
        </w:rPr>
        <w:t xml:space="preserve"> שהגיש כנגד המשרד, גרושתו והמחלקת לשירותים חברתיים עמק חפר, וביקש שיינתן צו  המורה למשיבים ליתן טעם מדוע לא יועבר מינוי עו"ס לסדרי דין ועו"ס נוספת למועצה מקומית אליכין </w:t>
      </w:r>
      <w:r>
        <w:rPr>
          <w:b/>
          <w:bCs/>
          <w:rtl/>
        </w:rPr>
        <w:t>(העתירה השלישית</w:t>
      </w:r>
      <w:r>
        <w:rPr>
          <w:rtl/>
        </w:rPr>
        <w:t>). התבקש גם צו ביניים שיורה לעמק חפר שלא לקיים ועדת תכנון טיפול (</w:t>
      </w:r>
      <w:r>
        <w:rPr>
          <w:b/>
          <w:bCs/>
          <w:rtl/>
        </w:rPr>
        <w:t>הוועדה</w:t>
      </w:r>
      <w:r w:rsidR="00B61772">
        <w:rPr>
          <w:rFonts w:hint="cs"/>
          <w:rtl/>
        </w:rPr>
        <w:t xml:space="preserve"> או </w:t>
      </w:r>
      <w:r w:rsidR="00B61772" w:rsidRPr="00B61772">
        <w:rPr>
          <w:rFonts w:hint="cs"/>
          <w:b/>
          <w:bCs/>
          <w:rtl/>
        </w:rPr>
        <w:t>ועדת תכנון טיפול</w:t>
      </w:r>
      <w:r>
        <w:rPr>
          <w:rtl/>
        </w:rPr>
        <w:t xml:space="preserve">), שככל הידוע נועדה להתקיים ביום 7.9.22, אלא לאחר פסק דין בעתירה או זמן סביר לאחר שיקבל </w:t>
      </w:r>
      <w:r w:rsidR="00C67545">
        <w:rPr>
          <w:rFonts w:hint="cs"/>
          <w:rtl/>
        </w:rPr>
        <w:t xml:space="preserve">מענה </w:t>
      </w:r>
      <w:r>
        <w:rPr>
          <w:rtl/>
        </w:rPr>
        <w:t>מלא לפנייתו מיום 16.8.22.</w:t>
      </w:r>
    </w:p>
    <w:p w:rsidR="002939D4" w:rsidRDefault="002939D4" w:rsidP="00C67545">
      <w:pPr>
        <w:spacing w:line="360" w:lineRule="auto"/>
        <w:ind w:left="-58"/>
      </w:pPr>
    </w:p>
    <w:p w:rsidR="002939D4" w:rsidRDefault="002939D4" w:rsidP="002939D4">
      <w:pPr>
        <w:pStyle w:val="ad"/>
        <w:numPr>
          <w:ilvl w:val="0"/>
          <w:numId w:val="2"/>
        </w:numPr>
        <w:spacing w:after="0"/>
        <w:ind w:left="509" w:right="0" w:hanging="567"/>
        <w:rPr>
          <w:rtl/>
        </w:rPr>
      </w:pPr>
      <w:r>
        <w:rPr>
          <w:b/>
          <w:bCs/>
          <w:rtl/>
        </w:rPr>
        <w:t>בפסק דין מיום 7.9.22 שניתן בעתירה השלישית</w:t>
      </w:r>
      <w:r>
        <w:rPr>
          <w:rtl/>
        </w:rPr>
        <w:t>, נדחתה העתירה על הסף ומבלי שהתבקשה תגובה, בשל העדר עילה להתערבות. תחילה קבע בית המשפט כי העתירה לוקה בחוסר בהירות ובלאקוניות באופן שמקשה עד מאוד לברר את טענות העותר לגופן וכי די היה בכך כדי לדחותה, אך בשל רגישות הנושא בו מדובר החליט בג"ץ "</w:t>
      </w:r>
      <w:r>
        <w:rPr>
          <w:b/>
          <w:bCs/>
          <w:rtl/>
        </w:rPr>
        <w:t>לבור את המוץ מן התבן ככל הניתן</w:t>
      </w:r>
      <w:r>
        <w:rPr>
          <w:rtl/>
        </w:rPr>
        <w:t>" (סעיף 2). בית המשפט העליון פירט את ההליכים הקודמים וציין כי לאחר פסק דין בעתירה השנייה פנה המערער למשרד בבקשה שהטיפול בעניינו ובענייני ילדיו יועבר למחלקה באליכין; וכן פנה למחלקה בעמק חפר והלין על כך שלא קיבל זימון לוועדה זמן סביר מראש.  עוד קבע בית המשפט כי העותר "</w:t>
      </w:r>
      <w:r>
        <w:rPr>
          <w:b/>
          <w:bCs/>
          <w:rtl/>
        </w:rPr>
        <w:t>מעלה טענות מכל הבא ליד אשר לחלקן אין כל קשר לעתירה</w:t>
      </w:r>
      <w:r>
        <w:rPr>
          <w:rtl/>
        </w:rPr>
        <w:t>" (פסקה 8) וכי חלק מהטענות שהועלו בעתירה כנגד משרד הרווחה "</w:t>
      </w:r>
      <w:r>
        <w:rPr>
          <w:b/>
          <w:bCs/>
          <w:rtl/>
        </w:rPr>
        <w:t>נעדרות כל עיגון עובדתי ומשפטי מינימאלי, ואף עומדות בסתירה לתשתית העובדתית שהניח העותר ... טענתו של העותר כי לא ניתנה לו זכות טיעון עומדת בניגוד לכך שההחלטה להעביר את הטיפול בעניינו ובעניין ילדיו למחלקה בעמק חפר, ניתנה לאחר שהגיש בעניין זה עתירה, שהעברה כאמור הייתה הסעד העיקרי שהתבקש במסגרתה</w:t>
      </w:r>
      <w:r>
        <w:rPr>
          <w:rtl/>
        </w:rPr>
        <w:t>" (פסקה 10). עוד נקבע כי "</w:t>
      </w:r>
      <w:r>
        <w:rPr>
          <w:b/>
          <w:bCs/>
          <w:rtl/>
        </w:rPr>
        <w:t xml:space="preserve">מעבר לכך, החלטה של משיב 1 </w:t>
      </w:r>
      <w:r>
        <w:rPr>
          <w:rtl/>
        </w:rPr>
        <w:t>[המשרד]</w:t>
      </w:r>
      <w:r>
        <w:rPr>
          <w:b/>
          <w:bCs/>
          <w:rtl/>
        </w:rPr>
        <w:t xml:space="preserve"> היא החלטה המצויה בתחום מומחיותו, וממילא העותר לא הצביע על פגם ממשי שנפל בה ... כאמור, החלטה זו אף תואמת את בקשת המערער במסגרת העתירה הראשונה"</w:t>
      </w:r>
      <w:r>
        <w:rPr>
          <w:rtl/>
        </w:rPr>
        <w:t xml:space="preserve"> (פסקה 11)</w:t>
      </w:r>
      <w:r>
        <w:rPr>
          <w:b/>
          <w:bCs/>
          <w:rtl/>
        </w:rPr>
        <w:t>.</w:t>
      </w:r>
      <w:r>
        <w:rPr>
          <w:rtl/>
        </w:rPr>
        <w:t xml:space="preserve"> עוד ציין בג"ץ כי </w:t>
      </w:r>
      <w:r>
        <w:rPr>
          <w:b/>
          <w:bCs/>
          <w:rtl/>
        </w:rPr>
        <w:t xml:space="preserve">"על כך יש להוסיף כי טרם ניתנה החלטה בבקשה שהגיש העותר לוועדת הערר של המשיב 1, אשר עשויה לייתר </w:t>
      </w:r>
      <w:r>
        <w:rPr>
          <w:b/>
          <w:bCs/>
          <w:rtl/>
        </w:rPr>
        <w:lastRenderedPageBreak/>
        <w:t>את הצורך בהגשת העתירה לבית משפט זה - דבר המעיד על קיומו של סעד חלופי שיש בו, כשלעצמו, כדי לדחות את העתירה"</w:t>
      </w:r>
      <w:r>
        <w:rPr>
          <w:rtl/>
        </w:rPr>
        <w:t>.</w:t>
      </w:r>
    </w:p>
    <w:p w:rsidR="002939D4" w:rsidRDefault="002939D4" w:rsidP="00FD46A0">
      <w:pPr>
        <w:spacing w:line="360" w:lineRule="auto"/>
        <w:ind w:left="-58"/>
      </w:pPr>
    </w:p>
    <w:p w:rsidR="002939D4" w:rsidRDefault="002939D4" w:rsidP="00FD46A0">
      <w:pPr>
        <w:pStyle w:val="ad"/>
        <w:numPr>
          <w:ilvl w:val="0"/>
          <w:numId w:val="2"/>
        </w:numPr>
        <w:spacing w:after="0"/>
        <w:ind w:left="509" w:right="0" w:hanging="567"/>
        <w:rPr>
          <w:rtl/>
        </w:rPr>
      </w:pPr>
      <w:r>
        <w:rPr>
          <w:rtl/>
        </w:rPr>
        <w:t xml:space="preserve">ימים ספורים קודם להגשת העתירה השלישית, </w:t>
      </w:r>
      <w:r>
        <w:rPr>
          <w:b/>
          <w:bCs/>
          <w:rtl/>
        </w:rPr>
        <w:t>ביום 2.9.2022,</w:t>
      </w:r>
      <w:r>
        <w:rPr>
          <w:rtl/>
        </w:rPr>
        <w:t xml:space="preserve"> </w:t>
      </w:r>
      <w:r w:rsidR="00B61772">
        <w:rPr>
          <w:rFonts w:hint="cs"/>
          <w:rtl/>
        </w:rPr>
        <w:t xml:space="preserve">הגיש המערער </w:t>
      </w:r>
      <w:r w:rsidR="00FD46A0">
        <w:rPr>
          <w:rFonts w:hint="cs"/>
          <w:rtl/>
        </w:rPr>
        <w:t xml:space="preserve">ערר </w:t>
      </w:r>
      <w:r>
        <w:rPr>
          <w:rtl/>
        </w:rPr>
        <w:t xml:space="preserve">לוועדת הערר בעניין </w:t>
      </w:r>
      <w:r>
        <w:rPr>
          <w:b/>
          <w:bCs/>
          <w:rtl/>
        </w:rPr>
        <w:t xml:space="preserve">"אי קיום זכות טיעון כהלכה ו/או אי מסירת מסמכים ו/או אי מענה על בקשה לחשיפת זהות חברי ועדת ת"ט </w:t>
      </w:r>
      <w:r>
        <w:rPr>
          <w:rtl/>
        </w:rPr>
        <w:t>[ועדה לתיאום טיפול - י'ב']</w:t>
      </w:r>
      <w:r>
        <w:rPr>
          <w:b/>
          <w:bCs/>
          <w:rtl/>
        </w:rPr>
        <w:t>, שתתקיים במ.א. עמק חפר, ואו אי מענה על בקשה לחשיפת זהות משתתפי הדיון בועדה זו"</w:t>
      </w:r>
      <w:r>
        <w:rPr>
          <w:rtl/>
        </w:rPr>
        <w:t>. בכותרת ה</w:t>
      </w:r>
      <w:r w:rsidR="00FD46A0">
        <w:rPr>
          <w:rFonts w:hint="cs"/>
          <w:rtl/>
        </w:rPr>
        <w:t>ערר</w:t>
      </w:r>
      <w:r>
        <w:rPr>
          <w:rtl/>
        </w:rPr>
        <w:t xml:space="preserve"> צוין "</w:t>
      </w:r>
      <w:r>
        <w:rPr>
          <w:b/>
          <w:bCs/>
          <w:rtl/>
        </w:rPr>
        <w:t>הנדון: זימון, שלא התקבל עד היום, בדואר רשום, לוועדת ת"ט במ.א עמק חפר</w:t>
      </w:r>
      <w:r>
        <w:rPr>
          <w:rtl/>
        </w:rPr>
        <w:t>" (נספח 8 לערעור). המערער טען כי הוא וגרושתו סבורים שלא היה מקום להעביר את הטיפול ל</w:t>
      </w:r>
      <w:r w:rsidR="00FD46A0">
        <w:rPr>
          <w:rFonts w:hint="cs"/>
          <w:rtl/>
        </w:rPr>
        <w:t>משיבה</w:t>
      </w:r>
      <w:r>
        <w:rPr>
          <w:rtl/>
        </w:rPr>
        <w:t>; וכי זו מעוניינת לקיים ועדת תכנון טיפול, שהמערער שמע שמתוכננת ישיבה ליום 7.9.22 מבלי שקיבל זימון בדואר רשום; ואף בטרם קיבל תשובה לפנייתו אליה מיום 16.8.22. במסגרת הערר ציטט המערער את פנייתו מיום 16.8.22 לוועדת תכנון טיפול, הכוללת שורה של שאלות משאלות שונות ביחס לפעילותה של הוועדה ובקשר לישיבה: מהו סעיף החוק המסדיר את עצם קיומה; מהם החומרים בהם תדון, מיהם חברי הועדה, מדוע נקבע הדיון; מה הן סמכויותיה, והאם נערכו התכתבויות בין מי מעובדי מועצה אזורית עמק חפר לבין גרושתו. המערער ביקש כי וועדת הערר תורה לוועד</w:t>
      </w:r>
      <w:r w:rsidR="00FD46A0">
        <w:rPr>
          <w:rFonts w:hint="cs"/>
          <w:rtl/>
        </w:rPr>
        <w:t>ת</w:t>
      </w:r>
      <w:r>
        <w:rPr>
          <w:rtl/>
        </w:rPr>
        <w:t xml:space="preserve"> תכנון טיפול להמציא לו את כל המידע והמסמכים, ורק לאחר שיקבל את כל החומר ייקבע מועד ל</w:t>
      </w:r>
      <w:r w:rsidR="00FD46A0">
        <w:rPr>
          <w:rFonts w:hint="cs"/>
          <w:rtl/>
        </w:rPr>
        <w:t>ישיבת הוועדה</w:t>
      </w:r>
      <w:r>
        <w:rPr>
          <w:rtl/>
        </w:rPr>
        <w:t>. המערער ציין שם עוד כי מעולם לא פנה למחלקה לשירותים חברתיים ברשות מקומית כלשהי בבקשה לסיוע או טיפול ואין לו כוונה לעשות כן, וכי מינוי עו"ס לסדרי דין ועו"ס נוספת נכפו עליו</w:t>
      </w:r>
      <w:r w:rsidR="00FD46A0">
        <w:rPr>
          <w:rFonts w:hint="cs"/>
          <w:rtl/>
        </w:rPr>
        <w:t xml:space="preserve"> (טענה שחוזרת על עצמה לרוב</w:t>
      </w:r>
      <w:r w:rsidR="005F5FAB">
        <w:rPr>
          <w:rFonts w:hint="cs"/>
          <w:rtl/>
        </w:rPr>
        <w:t>,</w:t>
      </w:r>
      <w:r w:rsidR="00FD46A0">
        <w:rPr>
          <w:rFonts w:hint="cs"/>
          <w:rtl/>
        </w:rPr>
        <w:t xml:space="preserve"> וגם במסגרת ערעור זה)</w:t>
      </w:r>
      <w:r>
        <w:rPr>
          <w:rtl/>
        </w:rPr>
        <w:t xml:space="preserve">. </w:t>
      </w:r>
    </w:p>
    <w:p w:rsidR="002939D4" w:rsidRDefault="002939D4" w:rsidP="00FD46A0">
      <w:pPr>
        <w:spacing w:line="360" w:lineRule="auto"/>
        <w:ind w:left="-58"/>
      </w:pPr>
    </w:p>
    <w:p w:rsidR="00302639" w:rsidRDefault="002939D4" w:rsidP="00273F67">
      <w:pPr>
        <w:pStyle w:val="ad"/>
        <w:numPr>
          <w:ilvl w:val="0"/>
          <w:numId w:val="2"/>
        </w:numPr>
        <w:spacing w:after="0"/>
        <w:ind w:left="509" w:right="0" w:hanging="567"/>
      </w:pPr>
      <w:r>
        <w:rPr>
          <w:rtl/>
        </w:rPr>
        <w:t>ביום 7.9.2022 התקיימה ישיבת ועדת תכנון וטיפול, שבה השתתף גם המערער.</w:t>
      </w:r>
      <w:r w:rsidR="00302639">
        <w:rPr>
          <w:rFonts w:hint="cs"/>
          <w:rtl/>
        </w:rPr>
        <w:t xml:space="preserve"> יצוין כי ישיבת הוועדה שנועדה מלכתחילה ליום 17.8.22 נדחתה לאור פניית המערער מיום 16.8.22</w:t>
      </w:r>
      <w:r w:rsidR="009C2C1F">
        <w:rPr>
          <w:rFonts w:hint="cs"/>
          <w:rtl/>
        </w:rPr>
        <w:t>,</w:t>
      </w:r>
      <w:r w:rsidR="00302639">
        <w:rPr>
          <w:rFonts w:hint="cs"/>
          <w:rtl/>
        </w:rPr>
        <w:t xml:space="preserve"> והתקיימה ביום 7.9.22.</w:t>
      </w:r>
    </w:p>
    <w:p w:rsidR="00302639" w:rsidRDefault="00302639" w:rsidP="00273F67">
      <w:pPr>
        <w:spacing w:line="360" w:lineRule="auto"/>
        <w:ind w:left="-58"/>
        <w:rPr>
          <w:rtl/>
        </w:rPr>
      </w:pPr>
    </w:p>
    <w:p w:rsidR="002939D4" w:rsidRDefault="002939D4" w:rsidP="009C2C1F">
      <w:pPr>
        <w:pStyle w:val="ad"/>
        <w:numPr>
          <w:ilvl w:val="0"/>
          <w:numId w:val="2"/>
        </w:numPr>
        <w:spacing w:after="0"/>
        <w:ind w:left="509" w:right="0" w:hanging="567"/>
        <w:rPr>
          <w:rtl/>
        </w:rPr>
      </w:pPr>
      <w:r>
        <w:rPr>
          <w:rtl/>
        </w:rPr>
        <w:t>כשבוע לאחר מכן, ביום 14.9.22, שב ופנה המערער בדוא"ל לוועדת הערר ו</w:t>
      </w:r>
      <w:r w:rsidR="00302639">
        <w:rPr>
          <w:rFonts w:hint="cs"/>
          <w:rtl/>
        </w:rPr>
        <w:t xml:space="preserve">הוסיף על </w:t>
      </w:r>
      <w:r w:rsidR="00C67545">
        <w:rPr>
          <w:rFonts w:hint="cs"/>
          <w:rtl/>
        </w:rPr>
        <w:t>הטענות ב</w:t>
      </w:r>
      <w:r w:rsidR="00302639">
        <w:rPr>
          <w:rFonts w:hint="cs"/>
          <w:rtl/>
        </w:rPr>
        <w:t xml:space="preserve">ערר </w:t>
      </w:r>
      <w:r w:rsidR="00C67545">
        <w:rPr>
          <w:rFonts w:hint="cs"/>
          <w:rtl/>
        </w:rPr>
        <w:t xml:space="preserve">כפי שהוגש </w:t>
      </w:r>
      <w:r w:rsidR="009C2C1F">
        <w:rPr>
          <w:rFonts w:hint="cs"/>
          <w:rtl/>
        </w:rPr>
        <w:t xml:space="preserve">במקור, </w:t>
      </w:r>
      <w:r w:rsidR="00C67545">
        <w:rPr>
          <w:rFonts w:hint="cs"/>
          <w:rtl/>
        </w:rPr>
        <w:t xml:space="preserve">גם </w:t>
      </w:r>
      <w:r w:rsidR="00302639">
        <w:rPr>
          <w:rFonts w:hint="cs"/>
          <w:rtl/>
        </w:rPr>
        <w:t xml:space="preserve">טענות כנגד </w:t>
      </w:r>
      <w:r w:rsidR="00C67545">
        <w:rPr>
          <w:rFonts w:hint="cs"/>
          <w:rtl/>
        </w:rPr>
        <w:t>התנהלות</w:t>
      </w:r>
      <w:r w:rsidR="00302639">
        <w:rPr>
          <w:rFonts w:hint="cs"/>
          <w:rtl/>
        </w:rPr>
        <w:t xml:space="preserve"> ועדת תכנון טיפול</w:t>
      </w:r>
      <w:r>
        <w:rPr>
          <w:rtl/>
        </w:rPr>
        <w:t xml:space="preserve"> </w:t>
      </w:r>
      <w:r w:rsidR="00C67545">
        <w:rPr>
          <w:rFonts w:hint="cs"/>
          <w:rtl/>
        </w:rPr>
        <w:t xml:space="preserve">והחלטתה </w:t>
      </w:r>
      <w:r>
        <w:rPr>
          <w:rtl/>
        </w:rPr>
        <w:t>(נספח 9 לערעור)</w:t>
      </w:r>
      <w:r w:rsidR="009C2C1F">
        <w:rPr>
          <w:rFonts w:hint="cs"/>
          <w:rtl/>
        </w:rPr>
        <w:t>,</w:t>
      </w:r>
      <w:r>
        <w:rPr>
          <w:rtl/>
        </w:rPr>
        <w:t xml:space="preserve"> </w:t>
      </w:r>
      <w:r w:rsidR="009C2C1F">
        <w:rPr>
          <w:rFonts w:hint="cs"/>
          <w:rtl/>
        </w:rPr>
        <w:t xml:space="preserve">וטען כי </w:t>
      </w:r>
      <w:r>
        <w:rPr>
          <w:rtl/>
        </w:rPr>
        <w:t xml:space="preserve">דין ההמלצה שהוא אינו מסכים לה - ביטול. יוער כי המערער לא מפרט שם מהי אותה המלצה שאינו מסכים לה; והוא אינו מפרט זאת גם בערעור. </w:t>
      </w:r>
      <w:r w:rsidR="009C2C1F">
        <w:rPr>
          <w:rtl/>
        </w:rPr>
        <w:t xml:space="preserve">המערער </w:t>
      </w:r>
      <w:r w:rsidR="009C2C1F">
        <w:rPr>
          <w:rFonts w:hint="cs"/>
          <w:rtl/>
        </w:rPr>
        <w:t>העלה טענות ביחס למשתתפים בישיבה ו</w:t>
      </w:r>
      <w:r>
        <w:rPr>
          <w:rtl/>
        </w:rPr>
        <w:t xml:space="preserve">שב וטען מלפני וועדת הערר כי לא היו ברשותו כל המסמכים, וכי לא יעלה על הדעת שהורה יופתע בדיון בוועדה. לטענתו, לא התקיים דיון ענייני בוועדה אודות ההמלצה (העלומה) שהוא אינו מסכים לה; לא ניתן לו זמן מספיק לטעון טענותיו, בעוד שגרושתו קיבלה פרק זמן כפול ממנו להשמעת טענותיה. עוד טען כי הוועדה גיבשה המלצה </w:t>
      </w:r>
      <w:r>
        <w:rPr>
          <w:rtl/>
        </w:rPr>
        <w:lastRenderedPageBreak/>
        <w:t>מראש שהוא אינו מסכים לה; וכי אף שהדיון הוקלט וצולם, עד היום הוא טרם קיבל את הסרטון. המערער הוסיף וציין גם כאן כי את דבר הסכסוך של בן משפחה עם המועצה האזורית עמק חפר.</w:t>
      </w:r>
      <w:r w:rsidR="00FD46A0">
        <w:rPr>
          <w:rFonts w:hint="cs"/>
          <w:rtl/>
        </w:rPr>
        <w:t xml:space="preserve"> על דברים אלה חזר גם בדיון שהתקיים בוועדת הערר</w:t>
      </w:r>
      <w:r w:rsidR="00302639">
        <w:rPr>
          <w:rFonts w:hint="cs"/>
          <w:rtl/>
        </w:rPr>
        <w:t xml:space="preserve"> ביום 21.11.22</w:t>
      </w:r>
      <w:r w:rsidR="00FD46A0">
        <w:rPr>
          <w:rFonts w:hint="cs"/>
          <w:rtl/>
        </w:rPr>
        <w:t xml:space="preserve"> (כ</w:t>
      </w:r>
      <w:r w:rsidR="00302639">
        <w:rPr>
          <w:rFonts w:hint="cs"/>
          <w:rtl/>
        </w:rPr>
        <w:t>ע</w:t>
      </w:r>
      <w:r w:rsidR="00FD46A0">
        <w:rPr>
          <w:rFonts w:hint="cs"/>
          <w:rtl/>
        </w:rPr>
        <w:t>ולה מעיון בפרוטוק</w:t>
      </w:r>
      <w:r w:rsidR="00302639">
        <w:rPr>
          <w:rFonts w:hint="cs"/>
          <w:rtl/>
        </w:rPr>
        <w:t>ו</w:t>
      </w:r>
      <w:r w:rsidR="00FD46A0">
        <w:rPr>
          <w:rFonts w:hint="cs"/>
          <w:rtl/>
        </w:rPr>
        <w:t>ל</w:t>
      </w:r>
      <w:r w:rsidR="00302639">
        <w:rPr>
          <w:rFonts w:hint="cs"/>
          <w:rtl/>
        </w:rPr>
        <w:t>, נספח 2 לערעור).</w:t>
      </w:r>
      <w:r w:rsidR="00C67545">
        <w:rPr>
          <w:rFonts w:hint="cs"/>
          <w:rtl/>
        </w:rPr>
        <w:t xml:space="preserve"> </w:t>
      </w:r>
    </w:p>
    <w:p w:rsidR="002939D4" w:rsidRDefault="002939D4" w:rsidP="00D3369B">
      <w:pPr>
        <w:spacing w:line="360" w:lineRule="auto"/>
        <w:rPr>
          <w:b/>
          <w:bCs/>
          <w:u w:val="single"/>
          <w:rtl/>
        </w:rPr>
      </w:pPr>
    </w:p>
    <w:p w:rsidR="002939D4" w:rsidRDefault="002939D4" w:rsidP="002939D4">
      <w:pPr>
        <w:rPr>
          <w:b/>
          <w:bCs/>
          <w:u w:val="single"/>
          <w:rtl/>
        </w:rPr>
      </w:pPr>
      <w:r>
        <w:rPr>
          <w:b/>
          <w:bCs/>
          <w:u w:val="single"/>
          <w:rtl/>
        </w:rPr>
        <w:t>החלטת ועדת הערר</w:t>
      </w:r>
    </w:p>
    <w:p w:rsidR="002939D4" w:rsidRDefault="002939D4" w:rsidP="002939D4">
      <w:pPr>
        <w:rPr>
          <w:b/>
          <w:bCs/>
          <w:u w:val="single"/>
          <w:rtl/>
        </w:rPr>
      </w:pPr>
    </w:p>
    <w:p w:rsidR="002939D4" w:rsidRDefault="002939D4" w:rsidP="002939D4">
      <w:pPr>
        <w:pStyle w:val="ad"/>
        <w:numPr>
          <w:ilvl w:val="0"/>
          <w:numId w:val="2"/>
        </w:numPr>
        <w:spacing w:after="0"/>
        <w:ind w:left="509" w:right="0" w:hanging="567"/>
        <w:rPr>
          <w:rtl/>
        </w:rPr>
      </w:pPr>
      <w:r>
        <w:rPr>
          <w:rtl/>
        </w:rPr>
        <w:t>הערעור המנהלי שלפניי הוגש כנגד החלטת ועדת הערר מיום 21.11.22. שזו לשונה:</w:t>
      </w:r>
    </w:p>
    <w:p w:rsidR="002939D4" w:rsidRDefault="002939D4" w:rsidP="002939D4">
      <w:pPr>
        <w:spacing w:line="276" w:lineRule="auto"/>
        <w:ind w:left="1076" w:right="993"/>
        <w:jc w:val="both"/>
      </w:pPr>
      <w:r>
        <w:rPr>
          <w:rtl/>
        </w:rPr>
        <w:br/>
        <w:t>"</w:t>
      </w:r>
      <w:r>
        <w:rPr>
          <w:b/>
          <w:bCs/>
          <w:rtl/>
        </w:rPr>
        <w:t xml:space="preserve">שמענו את טענות העורר אשר התפרסו על מגוון רב של נושאים, החל מזהות חברי הוועדה, המשך כנגד עובדי הרווחה. העורר המשיך בטיעוניו מעבר למה שכתוב בערר והיה מאוד קשה להתמקד בנושא לשמו הוגש הערר. מתוך דבריו של העורר היה ניתן להבין שעיקר טענותיו כנגד העובדה שהפיקוח המחוזי במשרד הרווחה החליטו שהטיפול במשפחה יהיה ע"י מחלקת הרווחה בעמק חפר. העורר טוען שמסוכסך עם עמק חפר ולכן מבקש להעביר את הטיפול לרשות אחרת. בנושא זה אנו דוחים את הערר ולא מסמכותנו להכריע בנושא השתייכות אלא בסמכות משרד הרווחה. העורר טען כי בג"ץ הורה שכן בסמכותנו אולם קראנו את הבג"ץ ולא מצאתנו הוראה בלשון זו. </w:t>
      </w:r>
      <w:r>
        <w:rPr>
          <w:b/>
          <w:bCs/>
          <w:rtl/>
        </w:rPr>
        <w:tab/>
      </w:r>
      <w:r>
        <w:rPr>
          <w:b/>
          <w:bCs/>
          <w:rtl/>
        </w:rPr>
        <w:br/>
        <w:t>העורר טען בנוסף שלא זומן לוועדה לתכנון טיפול וכי לא התאפשר לו להכין תכנית טיפול אלטרנטיבית. שמענו את נציג המחלקה והראו לנו בכתובים כי העורר זומן ובדרכים שונות ולא נענה להזמנות. המחלקה ניסתה לזמן אותו לישיבת הכנה אך הוא לא יצר קשר עם המחלקה. על כן, אנו דוחים את הערר בנושא אי זימונו לוועדה</w:t>
      </w:r>
      <w:r>
        <w:rPr>
          <w:rtl/>
        </w:rPr>
        <w:t>."</w:t>
      </w:r>
    </w:p>
    <w:p w:rsidR="002939D4" w:rsidRDefault="002939D4" w:rsidP="002939D4">
      <w:pPr>
        <w:ind w:left="-58"/>
        <w:jc w:val="both"/>
      </w:pPr>
    </w:p>
    <w:p w:rsidR="002939D4" w:rsidRDefault="002939D4" w:rsidP="002939D4">
      <w:pPr>
        <w:pStyle w:val="ad"/>
        <w:spacing w:line="240" w:lineRule="auto"/>
        <w:ind w:left="-58"/>
      </w:pPr>
    </w:p>
    <w:p w:rsidR="002939D4" w:rsidRDefault="002939D4" w:rsidP="00D3369B">
      <w:pPr>
        <w:pStyle w:val="ad"/>
        <w:numPr>
          <w:ilvl w:val="0"/>
          <w:numId w:val="2"/>
        </w:numPr>
        <w:spacing w:after="0"/>
        <w:ind w:left="509" w:right="0" w:hanging="567"/>
      </w:pPr>
      <w:r>
        <w:rPr>
          <w:rtl/>
        </w:rPr>
        <w:t>ועדת הערר החליטה אפוא לדחות את הערר שהגיש המערער, לאחר ישיבה בהשתתפות הצדדים שבה גם נשמעו טענות המערער. ועדת הערר דחתה את הערר בנושא ההשתייכות בקבעה כי אין זה מסמכותה להכריע בנושא זה, המצוי בסמכות משרד הרווחה. אשר לטענת המערער ביחס לוועדה לתכנון טיפול, נדחה הערר לגופו לאחר שנמצא כי המערער זומן ואף ביקשו לקיים עמו ישיבת הכנה, אך לא נענה להזמנות ולא יצר קשר עם המחלקה.</w:t>
      </w:r>
    </w:p>
    <w:p w:rsidR="00C67545" w:rsidRDefault="00C67545" w:rsidP="00D3369B">
      <w:pPr>
        <w:spacing w:line="360" w:lineRule="auto"/>
        <w:ind w:left="-58"/>
      </w:pPr>
    </w:p>
    <w:p w:rsidR="00D3369B" w:rsidRDefault="00D3369B" w:rsidP="00D3369B">
      <w:pPr>
        <w:pStyle w:val="ad"/>
        <w:numPr>
          <w:ilvl w:val="0"/>
          <w:numId w:val="2"/>
        </w:numPr>
        <w:spacing w:after="0"/>
        <w:ind w:left="509" w:right="0" w:hanging="567"/>
      </w:pPr>
      <w:r>
        <w:rPr>
          <w:rFonts w:hint="cs"/>
          <w:rtl/>
        </w:rPr>
        <w:t>עם הגשת הערעור הוריתי על הגשת תשובה. ניתנה למערער גם זכות להגיב לתשובה.</w:t>
      </w:r>
    </w:p>
    <w:p w:rsidR="00D3369B" w:rsidRDefault="00D3369B" w:rsidP="00D3369B">
      <w:pPr>
        <w:spacing w:line="360" w:lineRule="auto"/>
        <w:ind w:left="-58"/>
        <w:rPr>
          <w:rtl/>
        </w:rPr>
      </w:pPr>
    </w:p>
    <w:p w:rsidR="00C67545" w:rsidRDefault="00C67545" w:rsidP="00D3369B">
      <w:pPr>
        <w:pStyle w:val="ad"/>
        <w:numPr>
          <w:ilvl w:val="0"/>
          <w:numId w:val="2"/>
        </w:numPr>
        <w:spacing w:after="0"/>
        <w:ind w:left="509" w:right="0" w:hanging="567"/>
        <w:rPr>
          <w:rtl/>
        </w:rPr>
      </w:pPr>
      <w:r>
        <w:rPr>
          <w:rtl/>
        </w:rPr>
        <w:t>בפתח הדברים אציין כי גם כאן (שוב) מעלה המערער טענות למכביר בנושאים שונים ו</w:t>
      </w:r>
      <w:r w:rsidR="00273F67">
        <w:rPr>
          <w:rFonts w:hint="cs"/>
          <w:rtl/>
        </w:rPr>
        <w:t xml:space="preserve">הערעור </w:t>
      </w:r>
      <w:r w:rsidR="00D3369B">
        <w:rPr>
          <w:rFonts w:hint="cs"/>
          <w:rtl/>
        </w:rPr>
        <w:t xml:space="preserve">אינו בהיר, מסורבל, </w:t>
      </w:r>
      <w:r w:rsidR="00273F67">
        <w:rPr>
          <w:rFonts w:hint="cs"/>
          <w:rtl/>
        </w:rPr>
        <w:t>עמוס לעייפה וערוך בצפיפות ללא פסקאות ו</w:t>
      </w:r>
      <w:r>
        <w:rPr>
          <w:rtl/>
        </w:rPr>
        <w:t xml:space="preserve">באופן שמקשה על הטיפול בעניין. </w:t>
      </w:r>
      <w:r w:rsidR="00273F67">
        <w:rPr>
          <w:rFonts w:hint="cs"/>
          <w:rtl/>
        </w:rPr>
        <w:t xml:space="preserve">עם זאת, כפי שגם עשה בית המשפט העליון, לאור רגישות הנושא, יעשה בית המשפט מאמץ </w:t>
      </w:r>
      <w:r w:rsidR="00D3369B">
        <w:rPr>
          <w:rFonts w:hint="cs"/>
          <w:rtl/>
        </w:rPr>
        <w:t>"</w:t>
      </w:r>
      <w:r w:rsidR="00273F67">
        <w:rPr>
          <w:rFonts w:hint="cs"/>
          <w:rtl/>
        </w:rPr>
        <w:t>לבור את המוץ מן התבן</w:t>
      </w:r>
      <w:r w:rsidR="00D3369B">
        <w:rPr>
          <w:rFonts w:hint="cs"/>
          <w:rtl/>
        </w:rPr>
        <w:t>"</w:t>
      </w:r>
      <w:r w:rsidR="00273F67">
        <w:rPr>
          <w:rFonts w:hint="cs"/>
          <w:rtl/>
        </w:rPr>
        <w:t xml:space="preserve"> ו</w:t>
      </w:r>
      <w:r>
        <w:rPr>
          <w:rtl/>
        </w:rPr>
        <w:t>אתמקד בעיקרי הדברים.</w:t>
      </w:r>
    </w:p>
    <w:p w:rsidR="002939D4" w:rsidRDefault="002939D4" w:rsidP="00D3369B">
      <w:pPr>
        <w:spacing w:line="360" w:lineRule="auto"/>
        <w:rPr>
          <w:rtl/>
        </w:rPr>
      </w:pPr>
    </w:p>
    <w:p w:rsidR="002939D4" w:rsidRDefault="002939D4" w:rsidP="002939D4">
      <w:pPr>
        <w:ind w:left="-58"/>
        <w:rPr>
          <w:b/>
          <w:bCs/>
          <w:u w:val="single"/>
          <w:rtl/>
        </w:rPr>
      </w:pPr>
      <w:r>
        <w:rPr>
          <w:b/>
          <w:bCs/>
          <w:u w:val="single"/>
          <w:rtl/>
        </w:rPr>
        <w:t>תמצית עיקרי טענות המערער</w:t>
      </w:r>
    </w:p>
    <w:p w:rsidR="002939D4" w:rsidRDefault="002939D4" w:rsidP="002939D4"/>
    <w:p w:rsidR="002939D4" w:rsidRDefault="002939D4" w:rsidP="00E055AB">
      <w:pPr>
        <w:pStyle w:val="ad"/>
        <w:numPr>
          <w:ilvl w:val="0"/>
          <w:numId w:val="2"/>
        </w:numPr>
        <w:spacing w:after="0"/>
        <w:ind w:left="509" w:right="0" w:hanging="567"/>
        <w:rPr>
          <w:rtl/>
        </w:rPr>
      </w:pPr>
      <w:r>
        <w:rPr>
          <w:rtl/>
        </w:rPr>
        <w:t xml:space="preserve">לטענת המערער שגתה ועדת הערר כשסירבה לקבל החלטה על העברת הטיפול בעניין ילדי המערער למחלקת שירותי הרווחה של רשות מקומית אחרת בנימוק של העדר סמכות, שכן לשיטתו, בג"ץ הסמיך במפורש את ועדת הערר להחליט </w:t>
      </w:r>
      <w:r w:rsidR="00E055AB">
        <w:rPr>
          <w:rFonts w:hint="cs"/>
          <w:rtl/>
        </w:rPr>
        <w:t>בדבר</w:t>
      </w:r>
      <w:r>
        <w:rPr>
          <w:rtl/>
        </w:rPr>
        <w:t xml:space="preserve">. לגופו של עניין טען כי יש להעביר את הטיפול לרשות מקומית אחרת, </w:t>
      </w:r>
      <w:r w:rsidR="00E055AB">
        <w:rPr>
          <w:rFonts w:hint="cs"/>
          <w:rtl/>
        </w:rPr>
        <w:t xml:space="preserve">לאור סכסוך עם המשיבה </w:t>
      </w:r>
      <w:r>
        <w:rPr>
          <w:rtl/>
        </w:rPr>
        <w:t>שכן הוא טיפל כאחד המייצגים בעניין של בן משפחה כנגד המשיבה בכובעיה השונים במספר הליכים משפטיים.</w:t>
      </w:r>
      <w:r w:rsidR="00E055AB">
        <w:rPr>
          <w:rFonts w:hint="cs"/>
          <w:rtl/>
        </w:rPr>
        <w:t xml:space="preserve"> לאור האמור מבקשת המערער כי בית המשפט</w:t>
      </w:r>
      <w:r w:rsidR="00915498">
        <w:rPr>
          <w:rFonts w:hint="cs"/>
          <w:rtl/>
        </w:rPr>
        <w:t xml:space="preserve"> יקבל את הערעור</w:t>
      </w:r>
      <w:r w:rsidR="00E055AB">
        <w:rPr>
          <w:rFonts w:hint="cs"/>
          <w:rtl/>
        </w:rPr>
        <w:t xml:space="preserve"> </w:t>
      </w:r>
      <w:r w:rsidR="00915498">
        <w:rPr>
          <w:rFonts w:hint="cs"/>
          <w:rtl/>
        </w:rPr>
        <w:t>ו</w:t>
      </w:r>
      <w:r w:rsidR="00E055AB">
        <w:rPr>
          <w:rFonts w:hint="cs"/>
          <w:rtl/>
        </w:rPr>
        <w:t>יורה על העברת הטיפול למועצה מקומית אליכין.</w:t>
      </w:r>
    </w:p>
    <w:p w:rsidR="002939D4" w:rsidRDefault="002939D4" w:rsidP="00D3369B">
      <w:pPr>
        <w:spacing w:line="360" w:lineRule="auto"/>
      </w:pPr>
    </w:p>
    <w:p w:rsidR="002939D4" w:rsidRDefault="002939D4" w:rsidP="009C2C1F">
      <w:pPr>
        <w:pStyle w:val="ad"/>
        <w:numPr>
          <w:ilvl w:val="0"/>
          <w:numId w:val="2"/>
        </w:numPr>
        <w:spacing w:after="0"/>
        <w:ind w:left="509" w:right="0" w:hanging="567"/>
        <w:rPr>
          <w:rtl/>
        </w:rPr>
      </w:pPr>
      <w:r>
        <w:rPr>
          <w:rtl/>
        </w:rPr>
        <w:t>לטענת המערער שגתה ועדת הערר גם בכך שקבעה כי ועד</w:t>
      </w:r>
      <w:r w:rsidR="00E055AB">
        <w:rPr>
          <w:rFonts w:hint="cs"/>
          <w:rtl/>
        </w:rPr>
        <w:t>ת</w:t>
      </w:r>
      <w:r>
        <w:rPr>
          <w:rtl/>
        </w:rPr>
        <w:t xml:space="preserve"> תכנון טיפול פעלה כדין. לשיטתו, </w:t>
      </w:r>
      <w:r w:rsidR="005B64F3">
        <w:rPr>
          <w:rFonts w:hint="cs"/>
          <w:rtl/>
        </w:rPr>
        <w:t>כפי שטען בערר לוועדת הערר</w:t>
      </w:r>
      <w:r w:rsidR="009C2C1F">
        <w:rPr>
          <w:rFonts w:hint="cs"/>
          <w:rtl/>
        </w:rPr>
        <w:t>,</w:t>
      </w:r>
      <w:r w:rsidR="005B64F3">
        <w:rPr>
          <w:rFonts w:hint="cs"/>
          <w:rtl/>
        </w:rPr>
        <w:t xml:space="preserve"> </w:t>
      </w:r>
      <w:r>
        <w:rPr>
          <w:rtl/>
        </w:rPr>
        <w:t>נפלו פגמים בזימו</w:t>
      </w:r>
      <w:r w:rsidR="00915498">
        <w:rPr>
          <w:rFonts w:hint="cs"/>
          <w:rtl/>
        </w:rPr>
        <w:t>נו</w:t>
      </w:r>
      <w:r>
        <w:rPr>
          <w:rtl/>
        </w:rPr>
        <w:t xml:space="preserve"> לוועדה</w:t>
      </w:r>
      <w:r w:rsidR="00915498">
        <w:rPr>
          <w:rFonts w:hint="cs"/>
          <w:rtl/>
        </w:rPr>
        <w:t xml:space="preserve"> </w:t>
      </w:r>
      <w:r w:rsidR="005852F0">
        <w:rPr>
          <w:rFonts w:hint="cs"/>
          <w:rtl/>
        </w:rPr>
        <w:t xml:space="preserve">ובהתנהלותה </w:t>
      </w:r>
      <w:r>
        <w:rPr>
          <w:rtl/>
        </w:rPr>
        <w:t xml:space="preserve">ובטיפולה בעניין, תוך פגיעה בכללי </w:t>
      </w:r>
      <w:r w:rsidR="00915498">
        <w:rPr>
          <w:rFonts w:hint="cs"/>
          <w:rtl/>
        </w:rPr>
        <w:t>ה</w:t>
      </w:r>
      <w:r>
        <w:rPr>
          <w:rtl/>
        </w:rPr>
        <w:t xml:space="preserve">צדק </w:t>
      </w:r>
      <w:r w:rsidR="00915498">
        <w:rPr>
          <w:rFonts w:hint="cs"/>
          <w:rtl/>
        </w:rPr>
        <w:t>ה</w:t>
      </w:r>
      <w:r>
        <w:rPr>
          <w:rtl/>
        </w:rPr>
        <w:t>טבעי</w:t>
      </w:r>
      <w:r w:rsidR="005B64F3">
        <w:rPr>
          <w:rFonts w:hint="cs"/>
          <w:rtl/>
        </w:rPr>
        <w:t xml:space="preserve"> (הטענות פורטו </w:t>
      </w:r>
      <w:r w:rsidR="00915498">
        <w:rPr>
          <w:rFonts w:hint="cs"/>
          <w:rtl/>
        </w:rPr>
        <w:t xml:space="preserve">בעיקרן </w:t>
      </w:r>
      <w:r w:rsidR="005B64F3">
        <w:rPr>
          <w:rFonts w:hint="cs"/>
          <w:rtl/>
        </w:rPr>
        <w:t xml:space="preserve">לעיל. </w:t>
      </w:r>
      <w:r w:rsidR="005B64F3">
        <w:rPr>
          <w:rtl/>
        </w:rPr>
        <w:t xml:space="preserve">על מנת שלא להלאות בחזרה על הדברים, אפרט </w:t>
      </w:r>
      <w:r w:rsidR="005B64F3">
        <w:rPr>
          <w:rFonts w:hint="cs"/>
          <w:rtl/>
        </w:rPr>
        <w:t xml:space="preserve">ככל שעוד יידרש </w:t>
      </w:r>
      <w:r w:rsidR="005B64F3">
        <w:rPr>
          <w:rtl/>
        </w:rPr>
        <w:t>במסגרת הדיון</w:t>
      </w:r>
      <w:r w:rsidR="005B64F3">
        <w:rPr>
          <w:rFonts w:hint="cs"/>
          <w:rtl/>
        </w:rPr>
        <w:t>)</w:t>
      </w:r>
      <w:r>
        <w:rPr>
          <w:rtl/>
        </w:rPr>
        <w:t xml:space="preserve">. </w:t>
      </w:r>
      <w:r w:rsidR="005B64F3">
        <w:rPr>
          <w:rFonts w:hint="cs"/>
          <w:rtl/>
        </w:rPr>
        <w:t xml:space="preserve">לטענת המערער </w:t>
      </w:r>
      <w:r w:rsidR="00E055AB">
        <w:rPr>
          <w:rFonts w:hint="cs"/>
          <w:rtl/>
        </w:rPr>
        <w:t xml:space="preserve">נפלו פגמים גם בהחלטת </w:t>
      </w:r>
      <w:r>
        <w:rPr>
          <w:rtl/>
        </w:rPr>
        <w:t>ועדת הערר</w:t>
      </w:r>
      <w:r w:rsidR="00E055AB">
        <w:rPr>
          <w:rFonts w:hint="cs"/>
          <w:rtl/>
        </w:rPr>
        <w:t>,</w:t>
      </w:r>
      <w:r>
        <w:rPr>
          <w:rtl/>
        </w:rPr>
        <w:t xml:space="preserve"> </w:t>
      </w:r>
      <w:r w:rsidR="00915498">
        <w:rPr>
          <w:rFonts w:hint="cs"/>
          <w:rtl/>
        </w:rPr>
        <w:t>בכך שדחתה את הערר ו</w:t>
      </w:r>
      <w:r>
        <w:rPr>
          <w:rtl/>
        </w:rPr>
        <w:t>כמעט שלא התייחסה לשאר טענותיו של המערער</w:t>
      </w:r>
      <w:r w:rsidR="00915498">
        <w:rPr>
          <w:rFonts w:hint="cs"/>
          <w:rtl/>
        </w:rPr>
        <w:t>,</w:t>
      </w:r>
      <w:r>
        <w:rPr>
          <w:rtl/>
        </w:rPr>
        <w:t xml:space="preserve"> ואף לא נימקה את החלטתה כהלכה.</w:t>
      </w:r>
      <w:r w:rsidR="00E055AB">
        <w:rPr>
          <w:rFonts w:hint="cs"/>
          <w:rtl/>
        </w:rPr>
        <w:t xml:space="preserve"> מטעם זה סבור המערער כי יש </w:t>
      </w:r>
      <w:r w:rsidR="00915498">
        <w:rPr>
          <w:rFonts w:hint="cs"/>
          <w:rtl/>
        </w:rPr>
        <w:t>לקבל את הערעור ו</w:t>
      </w:r>
      <w:r w:rsidR="00E055AB">
        <w:rPr>
          <w:rFonts w:hint="cs"/>
          <w:rtl/>
        </w:rPr>
        <w:t>להורות על ביטול החלטת הוועדה מיום 7.9.22 "ככל שהחלטה זו אינו מוסכמת על המערער".</w:t>
      </w:r>
    </w:p>
    <w:p w:rsidR="002939D4" w:rsidRDefault="002939D4" w:rsidP="00D3369B">
      <w:pPr>
        <w:spacing w:line="360" w:lineRule="auto"/>
        <w:rPr>
          <w:rtl/>
        </w:rPr>
      </w:pPr>
    </w:p>
    <w:p w:rsidR="002939D4" w:rsidRDefault="002939D4" w:rsidP="00E055AB">
      <w:pPr>
        <w:pStyle w:val="ad"/>
        <w:numPr>
          <w:ilvl w:val="0"/>
          <w:numId w:val="2"/>
        </w:numPr>
        <w:spacing w:after="0"/>
        <w:ind w:left="509" w:right="0" w:hanging="567"/>
        <w:rPr>
          <w:rtl/>
        </w:rPr>
      </w:pPr>
      <w:r>
        <w:rPr>
          <w:rtl/>
        </w:rPr>
        <w:t xml:space="preserve">בנוסף, ביקש המערער כי בית משפט זה יורה למשיבה למסור לידיו את כל המסמכים </w:t>
      </w:r>
      <w:r w:rsidR="00E055AB">
        <w:rPr>
          <w:rFonts w:hint="cs"/>
          <w:rtl/>
        </w:rPr>
        <w:t xml:space="preserve">שהתבקשו על ידו מהמשיבה בנוגע </w:t>
      </w:r>
      <w:r>
        <w:rPr>
          <w:rtl/>
        </w:rPr>
        <w:t xml:space="preserve">לילדיו או לגרושתו. </w:t>
      </w:r>
    </w:p>
    <w:p w:rsidR="002939D4" w:rsidRDefault="002939D4" w:rsidP="00D3369B">
      <w:pPr>
        <w:spacing w:line="360" w:lineRule="auto"/>
        <w:ind w:left="-58"/>
      </w:pPr>
    </w:p>
    <w:p w:rsidR="002939D4" w:rsidRDefault="002939D4" w:rsidP="002939D4">
      <w:pPr>
        <w:pStyle w:val="ad"/>
        <w:numPr>
          <w:ilvl w:val="0"/>
          <w:numId w:val="2"/>
        </w:numPr>
        <w:spacing w:after="0"/>
        <w:ind w:left="509" w:right="0" w:hanging="567"/>
        <w:rPr>
          <w:rtl/>
        </w:rPr>
      </w:pPr>
      <w:r>
        <w:rPr>
          <w:rtl/>
        </w:rPr>
        <w:t xml:space="preserve">עוד עותר המבקש כי בית משפט זה יפסוק כי מינוי עובדת סוציאלית פרטית לסדרי דין שתמונה לאלתר, תענה על החלטת בית המשפט לענייני משפחה שהורה על מינוי עובדת סוציאלית לסדרי דין לבתו. לגישתו, העובדת הסוציאלית אינה חייבת להיות עובדת של רשות מקומית כלשהי. המערער מציין כי אינו מעוניין בכל קשר עם מחלקת רווחה ברשות מקומית כלשהי. </w:t>
      </w:r>
    </w:p>
    <w:p w:rsidR="002939D4" w:rsidRDefault="002939D4" w:rsidP="00915498">
      <w:pPr>
        <w:spacing w:line="360" w:lineRule="auto"/>
        <w:rPr>
          <w:rtl/>
        </w:rPr>
      </w:pPr>
    </w:p>
    <w:p w:rsidR="002939D4" w:rsidRDefault="002939D4" w:rsidP="002939D4">
      <w:pPr>
        <w:ind w:left="-58"/>
        <w:rPr>
          <w:b/>
          <w:bCs/>
          <w:u w:val="single"/>
          <w:rtl/>
        </w:rPr>
      </w:pPr>
      <w:r>
        <w:rPr>
          <w:b/>
          <w:bCs/>
          <w:u w:val="single"/>
          <w:rtl/>
        </w:rPr>
        <w:t>תמצית עיקרי טענות המשיבה</w:t>
      </w:r>
    </w:p>
    <w:p w:rsidR="002939D4" w:rsidRDefault="002939D4" w:rsidP="002939D4">
      <w:pPr>
        <w:ind w:left="-58"/>
        <w:rPr>
          <w:b/>
          <w:bCs/>
          <w:u w:val="single"/>
          <w:rtl/>
        </w:rPr>
      </w:pPr>
    </w:p>
    <w:p w:rsidR="002939D4" w:rsidRDefault="002939D4" w:rsidP="002939D4">
      <w:pPr>
        <w:pStyle w:val="ad"/>
        <w:numPr>
          <w:ilvl w:val="0"/>
          <w:numId w:val="2"/>
        </w:numPr>
        <w:spacing w:after="0"/>
        <w:ind w:left="509" w:right="0" w:hanging="567"/>
        <w:rPr>
          <w:rtl/>
        </w:rPr>
      </w:pPr>
      <w:r>
        <w:rPr>
          <w:rtl/>
        </w:rPr>
        <w:t>לטענת המשיבה, יש לדחות את הערעור על הסף ולגופו של עניין.</w:t>
      </w:r>
    </w:p>
    <w:p w:rsidR="002939D4" w:rsidRDefault="002939D4" w:rsidP="00FB1284">
      <w:pPr>
        <w:spacing w:line="360" w:lineRule="auto"/>
        <w:rPr>
          <w:rtl/>
        </w:rPr>
      </w:pPr>
    </w:p>
    <w:p w:rsidR="00FB1284" w:rsidRDefault="00915498" w:rsidP="005852F0">
      <w:pPr>
        <w:pStyle w:val="ad"/>
        <w:numPr>
          <w:ilvl w:val="0"/>
          <w:numId w:val="2"/>
        </w:numPr>
        <w:spacing w:after="0"/>
        <w:ind w:left="509" w:right="0" w:hanging="567"/>
      </w:pPr>
      <w:r>
        <w:rPr>
          <w:rFonts w:hint="cs"/>
          <w:rtl/>
        </w:rPr>
        <w:lastRenderedPageBreak/>
        <w:t xml:space="preserve">תחילה קבלה המשיבה על נוסחו המעורפל ומסורבל </w:t>
      </w:r>
      <w:r w:rsidR="005852F0">
        <w:rPr>
          <w:rFonts w:hint="cs"/>
          <w:rtl/>
        </w:rPr>
        <w:t>ש</w:t>
      </w:r>
      <w:r>
        <w:rPr>
          <w:rFonts w:hint="cs"/>
          <w:rtl/>
        </w:rPr>
        <w:t>ל הערעור</w:t>
      </w:r>
      <w:r w:rsidR="005852F0">
        <w:rPr>
          <w:rFonts w:hint="cs"/>
          <w:rtl/>
        </w:rPr>
        <w:t>,</w:t>
      </w:r>
      <w:r>
        <w:rPr>
          <w:rFonts w:hint="cs"/>
          <w:rtl/>
        </w:rPr>
        <w:t xml:space="preserve"> וציינה כי מדובר בהליך אחד מני רבים שמנהל המערער בניסיון למנוע </w:t>
      </w:r>
      <w:r w:rsidR="005852F0">
        <w:rPr>
          <w:rFonts w:hint="cs"/>
          <w:rtl/>
        </w:rPr>
        <w:t>ה</w:t>
      </w:r>
      <w:r>
        <w:rPr>
          <w:rFonts w:hint="cs"/>
          <w:rtl/>
        </w:rPr>
        <w:t>וצאה לפועל של החלטות מקצועיות</w:t>
      </w:r>
      <w:r w:rsidR="005852F0">
        <w:rPr>
          <w:rFonts w:hint="cs"/>
          <w:rtl/>
        </w:rPr>
        <w:t xml:space="preserve"> בעניין ילדיו, תוך השחתת זמן רב של עובדי ציבור ופגיעה ממשית ביכולת לשמור על טובת ילדיו.</w:t>
      </w:r>
    </w:p>
    <w:p w:rsidR="00FB1284" w:rsidRDefault="00FB1284" w:rsidP="005852F0">
      <w:pPr>
        <w:spacing w:line="360" w:lineRule="auto"/>
        <w:ind w:left="-58"/>
        <w:rPr>
          <w:rtl/>
        </w:rPr>
      </w:pPr>
    </w:p>
    <w:p w:rsidR="002939D4" w:rsidRDefault="002939D4" w:rsidP="00C5105C">
      <w:pPr>
        <w:pStyle w:val="ad"/>
        <w:numPr>
          <w:ilvl w:val="0"/>
          <w:numId w:val="2"/>
        </w:numPr>
        <w:spacing w:after="0"/>
        <w:ind w:left="509" w:right="0" w:hanging="567"/>
        <w:rPr>
          <w:rtl/>
        </w:rPr>
      </w:pPr>
      <w:r>
        <w:rPr>
          <w:rtl/>
        </w:rPr>
        <w:t>אשר לבקשת המערער להעביר את הטיפול בילדיו לרשות מקומית אחרת - החלטת ועדת הערר לדחות את הערר בעניין זה מחמת חוסר סמכות, בדין יסודה. לפי חוק הסעד, אין למערער זכות ערעור בעניין זה אלא יש לבקש רשות ערעור. מטעם זה דין הערעור בכל הקשור בכך, להידחות על הסף. יתר על כן, בג"ץ כבר קבע כי אין מקום להתערב בהחלטת משרד הרווחה על העברת הטיפול בעניינו של המערער ומשפחתו אל המועצה המקומית עמק חפר ודחה את עתירתו על הסף</w:t>
      </w:r>
      <w:r w:rsidR="005852F0">
        <w:rPr>
          <w:rFonts w:hint="cs"/>
          <w:rtl/>
        </w:rPr>
        <w:t>;</w:t>
      </w:r>
      <w:r>
        <w:rPr>
          <w:rtl/>
        </w:rPr>
        <w:t xml:space="preserve"> וזהו מעשה בית דין. עוד טענה המשיבה כי משרד הרווחה שקיבל את החלטת ההשתייכות שאותה תוקף המערער, אינו צד להליך זה, ולא ניתנה לו זכות טיעון בעניין.</w:t>
      </w:r>
      <w:r w:rsidR="00C5105C">
        <w:rPr>
          <w:rFonts w:hint="cs"/>
          <w:rtl/>
        </w:rPr>
        <w:t xml:space="preserve"> </w:t>
      </w:r>
      <w:r>
        <w:rPr>
          <w:rtl/>
        </w:rPr>
        <w:t xml:space="preserve">המשיבה הבהירה עוד כי אין לה כל עמדה בנוגע להחלטת ההשתייכות, היא פעלה ופועלת לפי הוראות </w:t>
      </w:r>
      <w:r w:rsidR="00C5105C">
        <w:rPr>
          <w:rFonts w:hint="cs"/>
          <w:rtl/>
        </w:rPr>
        <w:t>ה</w:t>
      </w:r>
      <w:r>
        <w:rPr>
          <w:rtl/>
        </w:rPr>
        <w:t>משרד. ככל שיוחלט להעביר את הטיפול בעניינו של המערער וילדיו לרשות מקומית אחרת היא תעשה כן.</w:t>
      </w:r>
    </w:p>
    <w:p w:rsidR="002939D4" w:rsidRDefault="002939D4" w:rsidP="00B60DE7">
      <w:pPr>
        <w:spacing w:line="360" w:lineRule="auto"/>
        <w:ind w:left="-58"/>
      </w:pPr>
    </w:p>
    <w:p w:rsidR="002939D4" w:rsidRDefault="005852F0" w:rsidP="00CC0E95">
      <w:pPr>
        <w:pStyle w:val="ad"/>
        <w:numPr>
          <w:ilvl w:val="0"/>
          <w:numId w:val="2"/>
        </w:numPr>
        <w:spacing w:after="0"/>
        <w:ind w:left="509" w:right="0" w:hanging="567"/>
        <w:rPr>
          <w:rtl/>
        </w:rPr>
      </w:pPr>
      <w:r>
        <w:rPr>
          <w:rFonts w:hint="cs"/>
          <w:rtl/>
        </w:rPr>
        <w:t>אשר ל</w:t>
      </w:r>
      <w:r w:rsidR="006437AE">
        <w:rPr>
          <w:rFonts w:hint="cs"/>
          <w:rtl/>
        </w:rPr>
        <w:t xml:space="preserve">החלטת ועדת הערר בעניין </w:t>
      </w:r>
      <w:r>
        <w:rPr>
          <w:rFonts w:hint="cs"/>
          <w:rtl/>
        </w:rPr>
        <w:t>ועד</w:t>
      </w:r>
      <w:r w:rsidR="006437AE">
        <w:rPr>
          <w:rFonts w:hint="cs"/>
          <w:rtl/>
        </w:rPr>
        <w:t>ת</w:t>
      </w:r>
      <w:r>
        <w:rPr>
          <w:rFonts w:hint="cs"/>
          <w:rtl/>
        </w:rPr>
        <w:t xml:space="preserve"> תכנון טיפול - </w:t>
      </w:r>
      <w:r w:rsidR="00CC0E95">
        <w:rPr>
          <w:rFonts w:hint="cs"/>
          <w:rtl/>
        </w:rPr>
        <w:t xml:space="preserve">ועדת הערר היא גוף מקצועי מוסמך, שמעה את המערער ואת נציגי המשיבה בנוגע לוועדת תכנון טיפול, לרבות בעניין התנהלותה ובעניין ההמצאה, לא מצאה כל דופי בהחלטת ועדת תכנון טיפול או בהתנהלותה, ונתנה החלטה מנומקת כנדרש. </w:t>
      </w:r>
      <w:r>
        <w:rPr>
          <w:rFonts w:hint="cs"/>
          <w:rtl/>
        </w:rPr>
        <w:t>ל</w:t>
      </w:r>
      <w:r w:rsidR="002939D4">
        <w:rPr>
          <w:rtl/>
        </w:rPr>
        <w:t>טענת המשיבה</w:t>
      </w:r>
      <w:r>
        <w:rPr>
          <w:rFonts w:hint="cs"/>
          <w:rtl/>
        </w:rPr>
        <w:t>,</w:t>
      </w:r>
      <w:r w:rsidR="002939D4">
        <w:rPr>
          <w:rtl/>
        </w:rPr>
        <w:t xml:space="preserve"> על פי הפסיקה </w:t>
      </w:r>
      <w:r w:rsidR="00B95BCD">
        <w:rPr>
          <w:rFonts w:hint="cs"/>
          <w:rtl/>
        </w:rPr>
        <w:t xml:space="preserve">היקף הביקורת השיפוטית </w:t>
      </w:r>
      <w:r w:rsidR="00CC0E95">
        <w:rPr>
          <w:rFonts w:hint="cs"/>
          <w:rtl/>
        </w:rPr>
        <w:t xml:space="preserve">בעניין זה </w:t>
      </w:r>
      <w:r w:rsidR="00B95BCD">
        <w:rPr>
          <w:rFonts w:hint="cs"/>
          <w:rtl/>
        </w:rPr>
        <w:t>מצומצם ו</w:t>
      </w:r>
      <w:r w:rsidR="002939D4">
        <w:rPr>
          <w:rtl/>
        </w:rPr>
        <w:t xml:space="preserve">בית המשפט לא יתערב בהחלטה מנהלית, אלא אם </w:t>
      </w:r>
      <w:r w:rsidR="00B95BCD">
        <w:rPr>
          <w:rFonts w:hint="cs"/>
          <w:rtl/>
        </w:rPr>
        <w:t>נפל בה פגם המצדיק התערבות לפי כללי המשפט המינהלי</w:t>
      </w:r>
      <w:r w:rsidR="002939D4">
        <w:rPr>
          <w:rtl/>
        </w:rPr>
        <w:t xml:space="preserve">. </w:t>
      </w:r>
      <w:r w:rsidR="00CC0E95">
        <w:rPr>
          <w:rFonts w:hint="cs"/>
          <w:rtl/>
        </w:rPr>
        <w:t xml:space="preserve">בענייננו, </w:t>
      </w:r>
      <w:r w:rsidR="00CC0E95">
        <w:rPr>
          <w:rtl/>
        </w:rPr>
        <w:t>לא נפל כל פגם ב</w:t>
      </w:r>
      <w:r w:rsidR="00CC0E95">
        <w:rPr>
          <w:rFonts w:hint="cs"/>
          <w:rtl/>
        </w:rPr>
        <w:t xml:space="preserve">החלטת ועדת הערר. </w:t>
      </w:r>
      <w:r w:rsidR="00CF0A5E">
        <w:rPr>
          <w:rFonts w:hint="cs"/>
          <w:rtl/>
        </w:rPr>
        <w:t xml:space="preserve">כפי שגם קבעה והתרשמה ועדת הערר, </w:t>
      </w:r>
      <w:r w:rsidR="002939D4">
        <w:rPr>
          <w:rtl/>
        </w:rPr>
        <w:t xml:space="preserve">נציגותיה </w:t>
      </w:r>
      <w:r w:rsidR="00CC0E95">
        <w:rPr>
          <w:rFonts w:hint="cs"/>
          <w:rtl/>
        </w:rPr>
        <w:t xml:space="preserve">של המשיבה </w:t>
      </w:r>
      <w:r w:rsidR="002939D4">
        <w:rPr>
          <w:rtl/>
        </w:rPr>
        <w:t xml:space="preserve">ניסו פעמים רבות ליצור קשר עם המערער </w:t>
      </w:r>
      <w:r w:rsidR="00B95BCD">
        <w:rPr>
          <w:rFonts w:hint="cs"/>
          <w:rtl/>
        </w:rPr>
        <w:t>זמן רק טרם ישיבת הוועדה ואף בניסיון לקיים</w:t>
      </w:r>
      <w:r w:rsidR="00CF0A5E">
        <w:rPr>
          <w:rFonts w:hint="cs"/>
          <w:rtl/>
        </w:rPr>
        <w:t xml:space="preserve"> </w:t>
      </w:r>
      <w:r w:rsidR="00B95BCD">
        <w:rPr>
          <w:rFonts w:hint="cs"/>
          <w:rtl/>
        </w:rPr>
        <w:t>יש</w:t>
      </w:r>
      <w:r w:rsidR="00CF0A5E">
        <w:rPr>
          <w:rFonts w:hint="cs"/>
          <w:rtl/>
        </w:rPr>
        <w:t>י</w:t>
      </w:r>
      <w:r w:rsidR="00B95BCD">
        <w:rPr>
          <w:rFonts w:hint="cs"/>
          <w:rtl/>
        </w:rPr>
        <w:t>בת הכנה</w:t>
      </w:r>
      <w:r w:rsidR="00CF0A5E">
        <w:rPr>
          <w:rFonts w:hint="cs"/>
          <w:rtl/>
        </w:rPr>
        <w:t xml:space="preserve"> </w:t>
      </w:r>
      <w:r w:rsidR="002939D4">
        <w:rPr>
          <w:rtl/>
        </w:rPr>
        <w:t xml:space="preserve">טרם </w:t>
      </w:r>
      <w:r w:rsidR="00CF0A5E">
        <w:rPr>
          <w:rFonts w:hint="cs"/>
          <w:rtl/>
        </w:rPr>
        <w:t>קיומה, ואולם המערער</w:t>
      </w:r>
      <w:r w:rsidR="002939D4">
        <w:rPr>
          <w:rtl/>
        </w:rPr>
        <w:t xml:space="preserve"> התעלם מהפניות במכוון ככל הנראה כדי לנסות ולעכב את קיומה של הישיבה. </w:t>
      </w:r>
      <w:r w:rsidR="00EB04B5">
        <w:rPr>
          <w:rFonts w:hint="cs"/>
          <w:rtl/>
        </w:rPr>
        <w:t xml:space="preserve">עוד צוין כי ועדת תכנון טיפול מוסמכת לגבש תכנית טיפול גם במקרה של אי הסכמה. </w:t>
      </w:r>
      <w:r w:rsidR="002939D4">
        <w:rPr>
          <w:rtl/>
        </w:rPr>
        <w:t xml:space="preserve">המשיבה שוללת מכל וכל את טענת המערער כי היא מפלה בין תושבים, אשר נטענה בעלמא </w:t>
      </w:r>
      <w:r w:rsidR="00CF0A5E">
        <w:rPr>
          <w:rFonts w:hint="cs"/>
          <w:rtl/>
        </w:rPr>
        <w:t>וללא תשתית ראייתית</w:t>
      </w:r>
      <w:r w:rsidR="002939D4">
        <w:rPr>
          <w:rtl/>
        </w:rPr>
        <w:t>.</w:t>
      </w:r>
    </w:p>
    <w:p w:rsidR="002939D4" w:rsidRDefault="002939D4" w:rsidP="00B60DE7">
      <w:pPr>
        <w:spacing w:line="360" w:lineRule="auto"/>
        <w:ind w:left="-58"/>
        <w:rPr>
          <w:rtl/>
        </w:rPr>
      </w:pPr>
    </w:p>
    <w:p w:rsidR="00EE4BCA" w:rsidRDefault="002939D4" w:rsidP="00DF06D3">
      <w:pPr>
        <w:pStyle w:val="ad"/>
        <w:numPr>
          <w:ilvl w:val="0"/>
          <w:numId w:val="2"/>
        </w:numPr>
        <w:spacing w:after="0"/>
        <w:ind w:left="509" w:right="0" w:hanging="567"/>
        <w:rPr>
          <w:rtl/>
        </w:rPr>
      </w:pPr>
      <w:r>
        <w:rPr>
          <w:rtl/>
        </w:rPr>
        <w:t xml:space="preserve">לעניין הסעדים הנוספים שהתבקשו - וועדת הערר שואבת את סמכותה מכוח סעיף 2 לחוק הסעד, והיא נעדרת כל סמכות לדון ולהכריע בהחלטת בית משפט לפי חוק הנוער למנות עובד סוציאלי לסדרי דין או אפוטרופוס לדין לילדיו. טענות המערער כנגד החלטת בית המשפט לפי חוק הנוער כלל לא רלבנטיות לערר, ואף לא נטענו במסגרתו, ובוודאי שלא התקבלה החלטה במסגרת הערר. המשיבה מציינת עוד כי ממילא המערער הגיש ערעור על החלטת בית המשפט </w:t>
      </w:r>
      <w:r>
        <w:rPr>
          <w:rtl/>
        </w:rPr>
        <w:lastRenderedPageBreak/>
        <w:t xml:space="preserve">לחוק הנוער במסגרת ענ"א </w:t>
      </w:r>
      <w:r w:rsidRPr="00EE4BCA">
        <w:rPr>
          <w:rFonts w:ascii="David" w:hAnsi="David"/>
          <w:sz w:val="22"/>
          <w:szCs w:val="22"/>
        </w:rPr>
        <w:t>XXXX</w:t>
      </w:r>
      <w:r>
        <w:rPr>
          <w:rtl/>
        </w:rPr>
        <w:t xml:space="preserve"> </w:t>
      </w:r>
      <w:r w:rsidR="00CF0A5E">
        <w:rPr>
          <w:rFonts w:hint="cs"/>
          <w:rtl/>
        </w:rPr>
        <w:t xml:space="preserve">[אעיר כי בתגובה </w:t>
      </w:r>
      <w:r w:rsidR="00BD2CFA">
        <w:rPr>
          <w:rFonts w:hint="cs"/>
          <w:rtl/>
        </w:rPr>
        <w:t xml:space="preserve">לתשובה </w:t>
      </w:r>
      <w:r w:rsidR="00CF0A5E">
        <w:rPr>
          <w:rFonts w:hint="cs"/>
          <w:rtl/>
        </w:rPr>
        <w:t>עדכן המערער כי כבר ניתן פסק דין המקבל את ערעור</w:t>
      </w:r>
      <w:r w:rsidR="00BD2CFA">
        <w:rPr>
          <w:rFonts w:hint="cs"/>
          <w:rtl/>
        </w:rPr>
        <w:t>ו</w:t>
      </w:r>
      <w:r w:rsidR="00CF0A5E">
        <w:rPr>
          <w:rFonts w:hint="cs"/>
          <w:rtl/>
        </w:rPr>
        <w:t xml:space="preserve"> זה; והוסיף וציין כי קיימת בקשה אחרת תלויה ועומדת בבית המשפט לענייני משפחה ל"שחרור" </w:t>
      </w:r>
      <w:r>
        <w:rPr>
          <w:rtl/>
        </w:rPr>
        <w:t xml:space="preserve">המערער וילדיו מכל קשר עם עו"ס </w:t>
      </w:r>
      <w:r w:rsidR="00CF0A5E">
        <w:rPr>
          <w:rFonts w:hint="cs"/>
          <w:rtl/>
        </w:rPr>
        <w:t>לסדרי דין</w:t>
      </w:r>
      <w:r>
        <w:rPr>
          <w:rtl/>
        </w:rPr>
        <w:t xml:space="preserve"> (סעיף 4 </w:t>
      </w:r>
      <w:r w:rsidR="00CF0A5E">
        <w:rPr>
          <w:rFonts w:hint="cs"/>
          <w:rtl/>
        </w:rPr>
        <w:t>שם</w:t>
      </w:r>
      <w:r>
        <w:rPr>
          <w:rtl/>
        </w:rPr>
        <w:t>)</w:t>
      </w:r>
      <w:r w:rsidR="00CF0A5E">
        <w:rPr>
          <w:rFonts w:hint="cs"/>
          <w:rtl/>
        </w:rPr>
        <w:t>]</w:t>
      </w:r>
      <w:r>
        <w:rPr>
          <w:rtl/>
        </w:rPr>
        <w:t xml:space="preserve">. לעניין המסמכים שביקש המערער </w:t>
      </w:r>
      <w:r w:rsidR="00CF0A5E">
        <w:rPr>
          <w:rFonts w:hint="cs"/>
          <w:rtl/>
        </w:rPr>
        <w:t xml:space="preserve">ציינה </w:t>
      </w:r>
      <w:r>
        <w:rPr>
          <w:rtl/>
        </w:rPr>
        <w:t>המשיבה</w:t>
      </w:r>
      <w:r w:rsidR="00EE4BCA">
        <w:rPr>
          <w:rFonts w:hint="cs"/>
          <w:rtl/>
        </w:rPr>
        <w:t>,</w:t>
      </w:r>
      <w:r>
        <w:rPr>
          <w:rtl/>
        </w:rPr>
        <w:t xml:space="preserve"> כי המערער פנה בבקשה לפי חוק חופש המידע וקיבל את כל המסמכים שניתן היה למסור לו על פי הדין; וכי </w:t>
      </w:r>
      <w:r w:rsidR="00CF0A5E">
        <w:rPr>
          <w:rFonts w:hint="cs"/>
          <w:rtl/>
        </w:rPr>
        <w:t>ככל שאינו</w:t>
      </w:r>
      <w:r w:rsidR="00036E4F">
        <w:rPr>
          <w:rFonts w:hint="cs"/>
          <w:rtl/>
        </w:rPr>
        <w:t xml:space="preserve"> </w:t>
      </w:r>
      <w:r w:rsidR="00CF0A5E">
        <w:rPr>
          <w:rFonts w:hint="cs"/>
          <w:rtl/>
        </w:rPr>
        <w:t xml:space="preserve">משלים </w:t>
      </w:r>
      <w:r>
        <w:rPr>
          <w:rtl/>
        </w:rPr>
        <w:t>ע</w:t>
      </w:r>
      <w:r w:rsidR="00036E4F">
        <w:rPr>
          <w:rFonts w:hint="cs"/>
          <w:rtl/>
        </w:rPr>
        <w:t>ם</w:t>
      </w:r>
      <w:r>
        <w:rPr>
          <w:rtl/>
        </w:rPr>
        <w:t xml:space="preserve"> החלטת הממונה על חופש המידע היה בידו להגיש עתירה מנהלית.</w:t>
      </w:r>
      <w:r w:rsidR="00036E4F">
        <w:rPr>
          <w:rFonts w:hint="cs"/>
          <w:rtl/>
        </w:rPr>
        <w:t xml:space="preserve"> העותר לא </w:t>
      </w:r>
      <w:r w:rsidR="00EE4BCA">
        <w:rPr>
          <w:rFonts w:hint="cs"/>
          <w:rtl/>
        </w:rPr>
        <w:t xml:space="preserve">עשה כן </w:t>
      </w:r>
      <w:r w:rsidR="00036E4F">
        <w:rPr>
          <w:rFonts w:hint="cs"/>
          <w:rtl/>
        </w:rPr>
        <w:t xml:space="preserve">ואינו יכול לעקוף את המסלול </w:t>
      </w:r>
      <w:r w:rsidR="00EE4BCA">
        <w:rPr>
          <w:rFonts w:hint="cs"/>
          <w:rtl/>
        </w:rPr>
        <w:t xml:space="preserve">הקבוע </w:t>
      </w:r>
      <w:r w:rsidR="00036E4F">
        <w:rPr>
          <w:rFonts w:hint="cs"/>
          <w:rtl/>
        </w:rPr>
        <w:t xml:space="preserve">בדין לתקיפתה, בהעלאת טענות בערעור זה. </w:t>
      </w:r>
    </w:p>
    <w:p w:rsidR="00EE4BCA" w:rsidRDefault="00EE4BCA" w:rsidP="00EE4BCA">
      <w:pPr>
        <w:ind w:left="-58"/>
        <w:rPr>
          <w:rtl/>
        </w:rPr>
      </w:pPr>
    </w:p>
    <w:p w:rsidR="002939D4" w:rsidRDefault="002939D4" w:rsidP="00EE4BCA">
      <w:pPr>
        <w:rPr>
          <w:b/>
          <w:bCs/>
          <w:u w:val="single"/>
          <w:rtl/>
        </w:rPr>
      </w:pPr>
      <w:r>
        <w:rPr>
          <w:b/>
          <w:bCs/>
          <w:u w:val="single"/>
          <w:rtl/>
        </w:rPr>
        <w:br/>
        <w:t>דיון והכרעה</w:t>
      </w:r>
    </w:p>
    <w:p w:rsidR="002939D4" w:rsidRDefault="002939D4" w:rsidP="00EE4BCA">
      <w:pPr>
        <w:ind w:left="-58"/>
        <w:rPr>
          <w:rtl/>
        </w:rPr>
      </w:pPr>
    </w:p>
    <w:p w:rsidR="002939D4" w:rsidRDefault="002939D4" w:rsidP="00B60DE7">
      <w:pPr>
        <w:pStyle w:val="ad"/>
        <w:numPr>
          <w:ilvl w:val="0"/>
          <w:numId w:val="2"/>
        </w:numPr>
        <w:spacing w:after="0"/>
        <w:ind w:left="509" w:right="0" w:hanging="567"/>
        <w:rPr>
          <w:rtl/>
        </w:rPr>
      </w:pPr>
      <w:r>
        <w:rPr>
          <w:rtl/>
        </w:rPr>
        <w:t>לאחר שעיינתי בטיעוני הצדדים ובתוקף סמכותי לפי סעיף 138(א)(5) לתקנות סדר הדין האזרחי, תשע"ט-2018 (</w:t>
      </w:r>
      <w:r>
        <w:rPr>
          <w:b/>
          <w:bCs/>
          <w:rtl/>
        </w:rPr>
        <w:t>תקנות סדר הדין האזרחי</w:t>
      </w:r>
      <w:r>
        <w:rPr>
          <w:rtl/>
        </w:rPr>
        <w:t>), הגעתי לכלל מסקנה כי יש לדחות את הערעור, ואלו טעמיי.</w:t>
      </w:r>
    </w:p>
    <w:p w:rsidR="002939D4" w:rsidRDefault="002939D4" w:rsidP="002939D4">
      <w:pPr>
        <w:ind w:left="-58"/>
      </w:pPr>
    </w:p>
    <w:p w:rsidR="002939D4" w:rsidRDefault="002939D4" w:rsidP="007C6D81">
      <w:pPr>
        <w:pStyle w:val="ad"/>
        <w:numPr>
          <w:ilvl w:val="0"/>
          <w:numId w:val="2"/>
        </w:numPr>
        <w:spacing w:after="0"/>
        <w:ind w:left="509" w:right="0" w:hanging="567"/>
      </w:pPr>
      <w:r>
        <w:rPr>
          <w:rtl/>
        </w:rPr>
        <w:t>תחילה אניח את המסד הנורמטיבי הנדרש לצורך הערר. לאחר מכן אדון בטענות המערער ב</w:t>
      </w:r>
      <w:r w:rsidR="007C6D81">
        <w:rPr>
          <w:rFonts w:hint="cs"/>
          <w:rtl/>
        </w:rPr>
        <w:t xml:space="preserve">שים לב </w:t>
      </w:r>
      <w:r>
        <w:rPr>
          <w:rtl/>
        </w:rPr>
        <w:t>לסעדים שהתבקשו במסגרת הערעור.</w:t>
      </w:r>
    </w:p>
    <w:p w:rsidR="002939D4" w:rsidRDefault="002939D4" w:rsidP="002939D4">
      <w:pPr>
        <w:ind w:left="-58"/>
        <w:rPr>
          <w:rtl/>
        </w:rPr>
      </w:pPr>
    </w:p>
    <w:p w:rsidR="002939D4" w:rsidRDefault="002939D4" w:rsidP="002939D4">
      <w:pPr>
        <w:ind w:left="-58"/>
        <w:rPr>
          <w:u w:val="single"/>
          <w:rtl/>
        </w:rPr>
      </w:pPr>
      <w:r>
        <w:rPr>
          <w:u w:val="single"/>
          <w:rtl/>
        </w:rPr>
        <w:t xml:space="preserve">התשתית הנורמטיבית הצריכה לעניין </w:t>
      </w:r>
    </w:p>
    <w:p w:rsidR="002939D4" w:rsidRDefault="002939D4" w:rsidP="002939D4">
      <w:pPr>
        <w:pStyle w:val="ad"/>
        <w:spacing w:after="0" w:line="240" w:lineRule="auto"/>
      </w:pPr>
    </w:p>
    <w:p w:rsidR="002939D4" w:rsidRDefault="002939D4" w:rsidP="007C6D81">
      <w:pPr>
        <w:pStyle w:val="ad"/>
        <w:numPr>
          <w:ilvl w:val="0"/>
          <w:numId w:val="2"/>
        </w:numPr>
        <w:spacing w:after="0"/>
        <w:ind w:left="509" w:right="0" w:hanging="567"/>
      </w:pPr>
      <w:r>
        <w:rPr>
          <w:rtl/>
        </w:rPr>
        <w:t>פעילות ועדת הערר של משרד הרווחה מוסדרת בסעיף 2 לחוק הסעד ותקנות שירותי הסעד (סדרי הנוהל בוועדות ערר), תשכ"ו</w:t>
      </w:r>
      <w:r w:rsidR="00BD2CFA">
        <w:rPr>
          <w:rFonts w:hint="cs"/>
          <w:rtl/>
        </w:rPr>
        <w:t xml:space="preserve"> </w:t>
      </w:r>
      <w:r>
        <w:rPr>
          <w:rtl/>
        </w:rPr>
        <w:t>-</w:t>
      </w:r>
      <w:r w:rsidR="00BD2CFA">
        <w:rPr>
          <w:rFonts w:hint="cs"/>
          <w:rtl/>
        </w:rPr>
        <w:t xml:space="preserve"> </w:t>
      </w:r>
      <w:r>
        <w:rPr>
          <w:rtl/>
        </w:rPr>
        <w:t>1965 (</w:t>
      </w:r>
      <w:r>
        <w:rPr>
          <w:b/>
          <w:bCs/>
          <w:rtl/>
        </w:rPr>
        <w:t>התקנות</w:t>
      </w:r>
      <w:r>
        <w:rPr>
          <w:rtl/>
        </w:rPr>
        <w:t>). הרכב</w:t>
      </w:r>
      <w:r w:rsidR="007C6D81">
        <w:rPr>
          <w:rFonts w:hint="cs"/>
          <w:rtl/>
        </w:rPr>
        <w:t xml:space="preserve"> ועדת הערר</w:t>
      </w:r>
      <w:r>
        <w:rPr>
          <w:rtl/>
        </w:rPr>
        <w:t xml:space="preserve"> נקבע בסעיף 2(ה) לחוק הסעד ולפיו יהיו </w:t>
      </w:r>
      <w:r w:rsidR="007C6D81">
        <w:rPr>
          <w:rFonts w:hint="cs"/>
          <w:rtl/>
        </w:rPr>
        <w:t xml:space="preserve">בה </w:t>
      </w:r>
      <w:r>
        <w:rPr>
          <w:rtl/>
        </w:rPr>
        <w:t>שלושה חברים שימנה השר: משפטן הכשיר להתמנות כשופט שלום, נציג ציבור שאינו עובד מדינה או עובד רשות מקומית, ועובד סוציאלי שאינו עובד מדינה או עובד ציבור אשר עבד במשך 7 שנים לפחות כעובד סוציאלי בשירות המדינה או ברשות מקומית. לפי סעיף 2(ג) לחוק הסעד "</w:t>
      </w:r>
      <w:r>
        <w:rPr>
          <w:b/>
          <w:bCs/>
          <w:rtl/>
        </w:rPr>
        <w:t xml:space="preserve">הרואה את עצמו נפגע על ידי אי מתן תשובה תוך זמן סביר או על ידי החלטה </w:t>
      </w:r>
      <w:r>
        <w:rPr>
          <w:rtl/>
        </w:rPr>
        <w:t xml:space="preserve">[של מחלקת השירותים החברתיים של רשות מקומית - י'ב'] </w:t>
      </w:r>
      <w:r>
        <w:rPr>
          <w:b/>
          <w:bCs/>
          <w:rtl/>
        </w:rPr>
        <w:t>רשאי לערור לפני ועדת הערר בכתב</w:t>
      </w:r>
      <w:r>
        <w:rPr>
          <w:rtl/>
        </w:rPr>
        <w:t xml:space="preserve">". העורר והממונה על לשכת הסעד שעל החלטתה עוררים רשאים להופיע לפני וועדת הערר והוועדה רשאית להזמין גם כל אדם אחר שעדותו עשויה לתרום לבירור הערר (תקנה 4). </w:t>
      </w:r>
    </w:p>
    <w:p w:rsidR="00CC0E95" w:rsidRDefault="00CC0E95" w:rsidP="00CC0E95">
      <w:pPr>
        <w:spacing w:line="360" w:lineRule="auto"/>
      </w:pPr>
    </w:p>
    <w:p w:rsidR="00150ACB" w:rsidRDefault="00CC0E95" w:rsidP="00206094">
      <w:pPr>
        <w:pStyle w:val="ad"/>
        <w:numPr>
          <w:ilvl w:val="0"/>
          <w:numId w:val="2"/>
        </w:numPr>
        <w:spacing w:after="0"/>
        <w:ind w:left="509" w:right="0" w:hanging="567"/>
      </w:pPr>
      <w:r>
        <w:rPr>
          <w:rFonts w:hint="cs"/>
          <w:rtl/>
        </w:rPr>
        <w:t xml:space="preserve">ועדת תכנון טיפול פועלת אף היא מכוח סעיף 2 לחוק הסעד. </w:t>
      </w:r>
      <w:r>
        <w:rPr>
          <w:rtl/>
        </w:rPr>
        <w:t xml:space="preserve">עבודתה מוסדרת בהוראה 9 לפרק 8 להוראות משרד העבודה והרווחה והשירותים החברתיים מיום 11.1.2017 </w:t>
      </w:r>
      <w:r>
        <w:rPr>
          <w:rFonts w:hint="cs"/>
          <w:rtl/>
        </w:rPr>
        <w:t>(תקנון ת</w:t>
      </w:r>
      <w:r w:rsidR="00150ACB">
        <w:rPr>
          <w:rFonts w:hint="cs"/>
          <w:rtl/>
        </w:rPr>
        <w:t xml:space="preserve">ע"ס) </w:t>
      </w:r>
      <w:r>
        <w:rPr>
          <w:rtl/>
        </w:rPr>
        <w:t>(נספח 1 לתשובת המשיבה). בקווים כלליים מאוד אציין כי</w:t>
      </w:r>
      <w:r w:rsidR="00206094">
        <w:rPr>
          <w:rFonts w:hint="cs"/>
          <w:rtl/>
        </w:rPr>
        <w:t xml:space="preserve"> הוועדה מורכבת מצוות רב מקצועי, ו</w:t>
      </w:r>
      <w:r>
        <w:rPr>
          <w:rtl/>
        </w:rPr>
        <w:t xml:space="preserve">מטרתה היא לגבש תכנית טיפול מיטבית למשפחה בהתייחס לצרכים ולמשאבים </w:t>
      </w:r>
      <w:r>
        <w:rPr>
          <w:rtl/>
        </w:rPr>
        <w:lastRenderedPageBreak/>
        <w:t xml:space="preserve">במשפחה ובקהילה; וזאת בשיתוף ההורים והילדים (בהתאם לגילם והתפתחותם). אין חולק כי על החלטות ועדה זו ניתן לערער לוועדת הערר. </w:t>
      </w:r>
    </w:p>
    <w:p w:rsidR="00150ACB" w:rsidRDefault="00150ACB" w:rsidP="00150ACB">
      <w:pPr>
        <w:spacing w:line="360" w:lineRule="auto"/>
        <w:ind w:left="-58"/>
        <w:rPr>
          <w:rtl/>
        </w:rPr>
      </w:pPr>
    </w:p>
    <w:p w:rsidR="00CC0E95" w:rsidRDefault="00CC0E95" w:rsidP="009B737D">
      <w:pPr>
        <w:pStyle w:val="ad"/>
        <w:numPr>
          <w:ilvl w:val="0"/>
          <w:numId w:val="2"/>
        </w:numPr>
        <w:spacing w:after="0"/>
        <w:ind w:left="509" w:right="0" w:hanging="567"/>
        <w:rPr>
          <w:rtl/>
        </w:rPr>
      </w:pPr>
      <w:r>
        <w:rPr>
          <w:rtl/>
        </w:rPr>
        <w:t xml:space="preserve">לפי סעיף 2(ח) לחוק שירותי סעד, בסמכותה של ועדת הערר לדחות את הערר או להשיב את הדיון לוועדת תכנון וטיפול לדיון חוזר (לפי ההוראות שתיתן או ללא הוראות). אין ועדת הערר מוסמכת לגבש תכנית טיפול במקום ועדת תכנון וטיפול. </w:t>
      </w:r>
    </w:p>
    <w:p w:rsidR="002939D4" w:rsidRDefault="002939D4" w:rsidP="00CC0E95">
      <w:pPr>
        <w:spacing w:line="360" w:lineRule="auto"/>
      </w:pPr>
    </w:p>
    <w:p w:rsidR="002939D4" w:rsidRDefault="002939D4" w:rsidP="00BD2CFA">
      <w:pPr>
        <w:pStyle w:val="ad"/>
        <w:numPr>
          <w:ilvl w:val="0"/>
          <w:numId w:val="2"/>
        </w:numPr>
        <w:spacing w:after="0"/>
        <w:ind w:left="509" w:right="0" w:hanging="567"/>
        <w:rPr>
          <w:rtl/>
        </w:rPr>
      </w:pPr>
      <w:r>
        <w:rPr>
          <w:rtl/>
        </w:rPr>
        <w:t>נמצא אפוא כי חברי ועדת הערר אינם עובדי המשרד או הרשות, ותפקידם להכריע במחלוקת שהתגלעה בין המחלקה לשירותים חברתיים של הרשות המקומית לבין מי שנזקק או מקבל את שירותיה. עוד יש לציין כי ועדת הערר אינה קשורה בסדרי הדין והראיות הנהוגים בבית המשפט (תקנה 7 לתקנות) ומעמדה הוא כשל בית דין מנהלי, ואף נקבע כי הוראות חוק בתי דין מינהליים, התשנ"ב</w:t>
      </w:r>
      <w:r w:rsidR="00BD2CFA">
        <w:rPr>
          <w:rFonts w:hint="cs"/>
          <w:rtl/>
        </w:rPr>
        <w:t xml:space="preserve"> </w:t>
      </w:r>
      <w:r>
        <w:rPr>
          <w:rtl/>
        </w:rPr>
        <w:t>-</w:t>
      </w:r>
      <w:r w:rsidR="00BD2CFA">
        <w:rPr>
          <w:rFonts w:hint="cs"/>
          <w:rtl/>
        </w:rPr>
        <w:t xml:space="preserve"> </w:t>
      </w:r>
      <w:r>
        <w:rPr>
          <w:rtl/>
        </w:rPr>
        <w:t xml:space="preserve">1992 (למעט </w:t>
      </w:r>
      <w:r w:rsidR="00BD2CFA">
        <w:rPr>
          <w:rFonts w:hint="cs"/>
          <w:rtl/>
        </w:rPr>
        <w:t>ה</w:t>
      </w:r>
      <w:r>
        <w:rPr>
          <w:rtl/>
        </w:rPr>
        <w:t>סעיפים שצוינו</w:t>
      </w:r>
      <w:r w:rsidR="00BD2CFA">
        <w:rPr>
          <w:rFonts w:hint="cs"/>
          <w:rtl/>
        </w:rPr>
        <w:t xml:space="preserve"> שם</w:t>
      </w:r>
      <w:r>
        <w:rPr>
          <w:rtl/>
        </w:rPr>
        <w:t xml:space="preserve">) יחולו "בשינויים המחויבים ובשינויים לפי חוק זה על ערר ועל ועדת הערר (סעיף 2(ה1) לחוק). </w:t>
      </w:r>
    </w:p>
    <w:p w:rsidR="002939D4" w:rsidRDefault="002939D4" w:rsidP="00BD2CFA">
      <w:pPr>
        <w:spacing w:line="360" w:lineRule="auto"/>
        <w:ind w:left="-58"/>
      </w:pPr>
    </w:p>
    <w:p w:rsidR="002939D4" w:rsidRDefault="002939D4" w:rsidP="002939D4">
      <w:pPr>
        <w:pStyle w:val="ad"/>
        <w:numPr>
          <w:ilvl w:val="0"/>
          <w:numId w:val="2"/>
        </w:numPr>
        <w:spacing w:after="0"/>
        <w:ind w:left="509" w:right="0" w:hanging="567"/>
        <w:rPr>
          <w:rtl/>
        </w:rPr>
      </w:pPr>
      <w:r>
        <w:rPr>
          <w:rtl/>
        </w:rPr>
        <w:t>לפי סעיף 2(ט)(1) לחוק הסעד, "החלטה סופית של ועדת הערר ניתנת לערעור לפני בית המשפט לעניינים מנהליים" לפי סעיף 2(ט)(2) החלטה אחרת של ועדת הערר ניתנת לערעור לפני בית המשפט לענייני מנהליים ברשות שופט בית המשפט בלבד "</w:t>
      </w:r>
      <w:r>
        <w:rPr>
          <w:b/>
          <w:bCs/>
          <w:rtl/>
        </w:rPr>
        <w:t>לעניין זה, 'החלטה אחרת' - החלטה לעניין עיכוב ביצוע לפי סעיף 33 לחוק בית דין מנהליים וכן החלטה בעניין סמכות עניינית</w:t>
      </w:r>
      <w:r>
        <w:rPr>
          <w:rtl/>
        </w:rPr>
        <w:t xml:space="preserve">'". </w:t>
      </w:r>
    </w:p>
    <w:p w:rsidR="002939D4" w:rsidRDefault="002939D4" w:rsidP="00BD2CFA">
      <w:pPr>
        <w:spacing w:line="360" w:lineRule="auto"/>
        <w:ind w:left="-58"/>
      </w:pPr>
    </w:p>
    <w:p w:rsidR="002939D4" w:rsidRDefault="002939D4" w:rsidP="00BD2CFA">
      <w:pPr>
        <w:pStyle w:val="ad"/>
        <w:numPr>
          <w:ilvl w:val="0"/>
          <w:numId w:val="2"/>
        </w:numPr>
        <w:spacing w:after="0"/>
        <w:ind w:left="509" w:right="0" w:hanging="567"/>
        <w:rPr>
          <w:rtl/>
        </w:rPr>
      </w:pPr>
      <w:r>
        <w:rPr>
          <w:rtl/>
        </w:rPr>
        <w:t xml:space="preserve">ערעור </w:t>
      </w:r>
      <w:r w:rsidR="00BD2CFA">
        <w:rPr>
          <w:rFonts w:hint="cs"/>
          <w:rtl/>
        </w:rPr>
        <w:t xml:space="preserve">על החלטת ועדת הערר לפי </w:t>
      </w:r>
      <w:r>
        <w:rPr>
          <w:rtl/>
        </w:rPr>
        <w:t xml:space="preserve">חוק </w:t>
      </w:r>
      <w:r w:rsidR="00BD2CFA">
        <w:rPr>
          <w:rFonts w:hint="cs"/>
          <w:rtl/>
        </w:rPr>
        <w:t xml:space="preserve">הסעד </w:t>
      </w:r>
      <w:r>
        <w:rPr>
          <w:rtl/>
        </w:rPr>
        <w:t>מנוי בתוספת השנ</w:t>
      </w:r>
      <w:r w:rsidR="00BD2CFA">
        <w:rPr>
          <w:rFonts w:hint="cs"/>
          <w:rtl/>
        </w:rPr>
        <w:t>י</w:t>
      </w:r>
      <w:r>
        <w:rPr>
          <w:rtl/>
        </w:rPr>
        <w:t>יה לחוק בתי משפט לעניינים מנהליים, תש"ס-2000 (פריט 22)</w:t>
      </w:r>
      <w:r w:rsidR="00BD2CFA">
        <w:rPr>
          <w:rFonts w:hint="cs"/>
          <w:rtl/>
        </w:rPr>
        <w:t xml:space="preserve"> ועל ניהולו</w:t>
      </w:r>
      <w:r>
        <w:rPr>
          <w:rtl/>
        </w:rPr>
        <w:t xml:space="preserve"> חלות ההוראות הרלבנטיות לערעור מינהלי, דהיינו: תקנות בתי משפט לענינים מנהליים (סדרי דין), תשס"א</w:t>
      </w:r>
      <w:r w:rsidR="00BD2CFA">
        <w:rPr>
          <w:rFonts w:hint="cs"/>
          <w:rtl/>
        </w:rPr>
        <w:t xml:space="preserve"> </w:t>
      </w:r>
      <w:r>
        <w:rPr>
          <w:rtl/>
        </w:rPr>
        <w:t>-</w:t>
      </w:r>
      <w:r w:rsidR="00BD2CFA">
        <w:rPr>
          <w:rFonts w:hint="cs"/>
          <w:rtl/>
        </w:rPr>
        <w:t xml:space="preserve"> </w:t>
      </w:r>
      <w:r>
        <w:rPr>
          <w:rtl/>
        </w:rPr>
        <w:t xml:space="preserve">2000 ותקנות סדר הדין האזרחי, </w:t>
      </w:r>
      <w:r w:rsidR="004C72AA">
        <w:rPr>
          <w:rFonts w:hint="cs"/>
          <w:rtl/>
        </w:rPr>
        <w:t xml:space="preserve">שאליהן מפנה </w:t>
      </w:r>
      <w:r>
        <w:rPr>
          <w:rtl/>
        </w:rPr>
        <w:t xml:space="preserve">תקנה 28 לתקנות </w:t>
      </w:r>
      <w:r w:rsidR="00BD2CFA">
        <w:rPr>
          <w:rFonts w:hint="cs"/>
          <w:rtl/>
        </w:rPr>
        <w:t>הראשונות</w:t>
      </w:r>
      <w:r>
        <w:rPr>
          <w:rtl/>
        </w:rPr>
        <w:t xml:space="preserve">. </w:t>
      </w:r>
    </w:p>
    <w:p w:rsidR="002939D4" w:rsidRDefault="002939D4" w:rsidP="004C72AA">
      <w:pPr>
        <w:spacing w:line="360" w:lineRule="auto"/>
        <w:ind w:left="-58"/>
      </w:pPr>
    </w:p>
    <w:p w:rsidR="002939D4" w:rsidRDefault="002939D4" w:rsidP="002939D4">
      <w:pPr>
        <w:ind w:left="-58"/>
        <w:rPr>
          <w:u w:val="single"/>
          <w:rtl/>
        </w:rPr>
      </w:pPr>
      <w:r>
        <w:rPr>
          <w:u w:val="single"/>
          <w:rtl/>
        </w:rPr>
        <w:t xml:space="preserve">אשר לסעד הראשון שהתבקש, להורות על העברת הטיפול למועצה מקומית אליכין - </w:t>
      </w:r>
    </w:p>
    <w:p w:rsidR="002939D4" w:rsidRDefault="002939D4" w:rsidP="002939D4">
      <w:pPr>
        <w:pStyle w:val="ad"/>
        <w:spacing w:after="0" w:line="240" w:lineRule="auto"/>
      </w:pPr>
    </w:p>
    <w:p w:rsidR="002939D4" w:rsidRDefault="002939D4" w:rsidP="00EE4BCA">
      <w:pPr>
        <w:pStyle w:val="ad"/>
        <w:numPr>
          <w:ilvl w:val="0"/>
          <w:numId w:val="2"/>
        </w:numPr>
        <w:spacing w:after="0"/>
        <w:ind w:left="509" w:right="0" w:hanging="567"/>
        <w:rPr>
          <w:rtl/>
        </w:rPr>
      </w:pPr>
      <w:r>
        <w:rPr>
          <w:rtl/>
        </w:rPr>
        <w:t xml:space="preserve">ועדת הערר קבעה כי אינה מוסמכת לדון או לקבוע בעניין השתייכות המערער ומשפחתו למחלקת השירותים החברתיים של </w:t>
      </w:r>
      <w:r w:rsidR="00EE4BCA">
        <w:rPr>
          <w:rFonts w:hint="cs"/>
          <w:rtl/>
        </w:rPr>
        <w:t>רשות מקומית זו או אחרת ו</w:t>
      </w:r>
      <w:r>
        <w:rPr>
          <w:rtl/>
        </w:rPr>
        <w:t>לשנות את החלטת ההשתייכות של המשרד.  מקובלת עלי קביעת ועדת הערר כי אינה מוסמכת לדון בסוגיה הנ"ל כמו גם עמדת המשיבה בעניין זה. דהיינו: בכל הקשור לחלק זה של החלט</w:t>
      </w:r>
      <w:r w:rsidR="00EE4BCA">
        <w:rPr>
          <w:rFonts w:hint="cs"/>
          <w:rtl/>
        </w:rPr>
        <w:t>ת ועדת הערר</w:t>
      </w:r>
      <w:r>
        <w:rPr>
          <w:rtl/>
        </w:rPr>
        <w:t xml:space="preserve"> </w:t>
      </w:r>
      <w:r w:rsidR="00EE4BCA">
        <w:rPr>
          <w:rFonts w:hint="cs"/>
          <w:rtl/>
        </w:rPr>
        <w:t xml:space="preserve">מדובר </w:t>
      </w:r>
      <w:r>
        <w:rPr>
          <w:rtl/>
        </w:rPr>
        <w:t xml:space="preserve">בהחלטה בעניין סמכות, אשר לפי סעיף 2(ט)(2) לחוק הסעד, אין למערער זכות ערעור בגינה </w:t>
      </w:r>
      <w:r>
        <w:rPr>
          <w:rtl/>
        </w:rPr>
        <w:lastRenderedPageBreak/>
        <w:t xml:space="preserve">והיה עליו להגיש בקשת רשות ערעור. משלא הגיש בקשה לרשות ערעור, דינו של הערעור בעניין זה שיידחה כבר מטעם זה, וכך אני מורה. </w:t>
      </w:r>
    </w:p>
    <w:p w:rsidR="002939D4" w:rsidRDefault="002939D4" w:rsidP="00201029">
      <w:pPr>
        <w:spacing w:line="360" w:lineRule="auto"/>
        <w:ind w:left="-58"/>
      </w:pPr>
    </w:p>
    <w:p w:rsidR="002939D4" w:rsidRDefault="002939D4" w:rsidP="007C6D81">
      <w:pPr>
        <w:pStyle w:val="ad"/>
        <w:numPr>
          <w:ilvl w:val="0"/>
          <w:numId w:val="2"/>
        </w:numPr>
        <w:spacing w:after="0"/>
        <w:ind w:left="509" w:right="0" w:hanging="567"/>
        <w:rPr>
          <w:rtl/>
        </w:rPr>
      </w:pPr>
      <w:r>
        <w:rPr>
          <w:rtl/>
        </w:rPr>
        <w:t>אציין כי גם אילו התבקש היתר להגיש ערעור בשאלת סמכות ועדת הערר</w:t>
      </w:r>
      <w:r w:rsidR="00EE4BCA">
        <w:rPr>
          <w:rFonts w:hint="cs"/>
          <w:rtl/>
        </w:rPr>
        <w:t xml:space="preserve"> לדון בסוגיית ההשתייכות</w:t>
      </w:r>
      <w:r>
        <w:rPr>
          <w:rtl/>
        </w:rPr>
        <w:t xml:space="preserve">, לא היה מקום ליתן היתר. כמפורט לעיל, לפי הוראות החוק והתקנות, ועדת הערר מוסמכת לדון אך ורק בהחלטה של מחלקת הרווחה של הרשות המקומית (או העדר החלטה שלה). אין לוועדת הערר סמכות לדון בכל עניין אחר, לרבות בקשת המערער להעביר את הטיפול למחלקת </w:t>
      </w:r>
      <w:r w:rsidR="00EE4BCA">
        <w:rPr>
          <w:rFonts w:hint="cs"/>
          <w:rtl/>
        </w:rPr>
        <w:t>ה</w:t>
      </w:r>
      <w:r>
        <w:rPr>
          <w:rtl/>
        </w:rPr>
        <w:t>רווחה של רשות מקומית אחרת, בניגוד להחלטת ההשתייכות של משרד העבודה והרווחה. טענת המערער אינה עולה בקנה אחד עם סמכויות ועדת הערר ותפקידה לפי חוק הסעד שמכוחו היא פועלת</w:t>
      </w:r>
      <w:r w:rsidR="00EE4BCA">
        <w:rPr>
          <w:rFonts w:hint="cs"/>
          <w:rtl/>
        </w:rPr>
        <w:t>,</w:t>
      </w:r>
      <w:r>
        <w:rPr>
          <w:rtl/>
        </w:rPr>
        <w:t xml:space="preserve"> ולתקנות שעל פיו (כפי שפורט לעיל). לפי עמדת המערער (אילו התקבלה) </w:t>
      </w:r>
      <w:r w:rsidR="00EE4BCA">
        <w:rPr>
          <w:rFonts w:hint="cs"/>
          <w:rtl/>
        </w:rPr>
        <w:t xml:space="preserve">נמצא כי </w:t>
      </w:r>
      <w:r>
        <w:rPr>
          <w:rtl/>
        </w:rPr>
        <w:t>בידי ועדת הערר לשנות את החלטת ההשתייכות של המשרד, מבלי שהמשרד מעורב בדבר ואינו צד להליך בוועדת הערר (או בערעור המינהלי); ובכוח</w:t>
      </w:r>
      <w:r w:rsidR="00EE4BCA">
        <w:rPr>
          <w:rFonts w:hint="cs"/>
          <w:rtl/>
        </w:rPr>
        <w:t>ה</w:t>
      </w:r>
      <w:r>
        <w:rPr>
          <w:rtl/>
        </w:rPr>
        <w:t xml:space="preserve"> אף להטיל - לשיטת המערער, שאינה מקובלת על בית המשפט - את הטיפול במערער ובמשפחתו על מחלקת השירותים החברתיים של רשות מקומית אחרת</w:t>
      </w:r>
      <w:r w:rsidR="00201029">
        <w:rPr>
          <w:rFonts w:hint="cs"/>
          <w:rtl/>
        </w:rPr>
        <w:t xml:space="preserve"> (שאף היא אינה צד להליך שלפניה)</w:t>
      </w:r>
      <w:r>
        <w:rPr>
          <w:rtl/>
        </w:rPr>
        <w:t>. הכל מבלי שיש ביד</w:t>
      </w:r>
      <w:r w:rsidR="00201029">
        <w:rPr>
          <w:rFonts w:hint="cs"/>
          <w:rtl/>
        </w:rPr>
        <w:t>ה</w:t>
      </w:r>
      <w:r>
        <w:rPr>
          <w:rtl/>
        </w:rPr>
        <w:t xml:space="preserve"> המידע, הכלים והראיה הרוחבית הנדרשים לצורך כך, אשר עליהם אמון המשרד בהחלטותיו בקביעת ההשתייכות.</w:t>
      </w:r>
    </w:p>
    <w:p w:rsidR="002939D4" w:rsidRDefault="002939D4" w:rsidP="00201029">
      <w:pPr>
        <w:spacing w:line="360" w:lineRule="auto"/>
        <w:ind w:left="-58"/>
      </w:pPr>
    </w:p>
    <w:p w:rsidR="002939D4" w:rsidRDefault="002939D4" w:rsidP="00201029">
      <w:pPr>
        <w:pStyle w:val="ad"/>
        <w:numPr>
          <w:ilvl w:val="0"/>
          <w:numId w:val="2"/>
        </w:numPr>
        <w:spacing w:after="0"/>
        <w:ind w:left="509" w:right="0" w:hanging="567"/>
        <w:rPr>
          <w:rtl/>
        </w:rPr>
      </w:pPr>
      <w:r>
        <w:rPr>
          <w:rtl/>
        </w:rPr>
        <w:t xml:space="preserve">עיינתי בפסק הדין </w:t>
      </w:r>
      <w:r w:rsidR="00201029">
        <w:rPr>
          <w:rFonts w:hint="cs"/>
          <w:rtl/>
        </w:rPr>
        <w:t xml:space="preserve">בעתירה השלישית, </w:t>
      </w:r>
      <w:r>
        <w:rPr>
          <w:rtl/>
        </w:rPr>
        <w:t>ו</w:t>
      </w:r>
      <w:r w:rsidR="00201029">
        <w:rPr>
          <w:rFonts w:hint="cs"/>
          <w:rtl/>
        </w:rPr>
        <w:t xml:space="preserve">כפי שגם קבעה ועדת הערר, </w:t>
      </w:r>
      <w:r>
        <w:rPr>
          <w:rtl/>
        </w:rPr>
        <w:t>לא מצאתי בו כל אחיזה לטענת המערער</w:t>
      </w:r>
      <w:r w:rsidR="00201029">
        <w:rPr>
          <w:rFonts w:hint="cs"/>
          <w:rtl/>
        </w:rPr>
        <w:t xml:space="preserve"> כאילו במקרה דנן הוסמכה ועדת הערר לקבוע בעניין ההשתייכות</w:t>
      </w:r>
      <w:r>
        <w:rPr>
          <w:rtl/>
        </w:rPr>
        <w:t xml:space="preserve">. העותר נתלה בכך שבג"ץ ציין שם (בשולי החלטתו) כי </w:t>
      </w:r>
      <w:r>
        <w:rPr>
          <w:b/>
          <w:bCs/>
          <w:rtl/>
        </w:rPr>
        <w:t>"על כך יש להוסיף כי טרם ניתנה החלטה בבקשה שהגיש העותר לוועדת הערר של המשיב 1, אשר עשויה לייתר את הצורך בהגשת העתירה לבית משפט זה - דבר המעיד על קיומו של סעד חלופי שיש בו, כשלעצמו, כדי לדחות את העתירה"</w:t>
      </w:r>
      <w:r>
        <w:rPr>
          <w:rtl/>
        </w:rPr>
        <w:t>. אלא שנדמה כי הדבר מתייחס לעניינים אחרים שהעלה העותר בעתירתו אשר מצויים בסמכות וועדת הערר (כגון בקשר עם ועדת תכנון טיפול). להזכיר, במסגרת אותו פסק דין שבו נדחתה העתירה על הסף בהעדר עילה ואף מבלי לקבל תגובה, נקבע כי העותר "</w:t>
      </w:r>
      <w:r>
        <w:rPr>
          <w:b/>
          <w:bCs/>
          <w:rtl/>
        </w:rPr>
        <w:t>מעלה טענות מכל הבא ליד אשר לחלקן אין כל קשר לעתירה</w:t>
      </w:r>
      <w:r>
        <w:rPr>
          <w:rtl/>
        </w:rPr>
        <w:t>" (פסקה 8), ובית המשפט נדרש "</w:t>
      </w:r>
      <w:r>
        <w:rPr>
          <w:b/>
          <w:bCs/>
          <w:rtl/>
        </w:rPr>
        <w:t>לבור את המוץ מן התבן ככל הניתן</w:t>
      </w:r>
      <w:r>
        <w:rPr>
          <w:rtl/>
        </w:rPr>
        <w:t>" (פסקה 2). נקבע כי חלק מהטענות שהועלו בעתירה כנגד משרד הרווחה "</w:t>
      </w:r>
      <w:r>
        <w:rPr>
          <w:b/>
          <w:bCs/>
          <w:rtl/>
        </w:rPr>
        <w:t>נעדרות כל עיגון עובדתי ומשפטי מינימאלי, ואף עומדות בסתירה לתשתית העובדתית שהניח העותר</w:t>
      </w:r>
      <w:r>
        <w:rPr>
          <w:rtl/>
        </w:rPr>
        <w:t>" וכי "</w:t>
      </w:r>
      <w:r>
        <w:rPr>
          <w:b/>
          <w:bCs/>
          <w:rtl/>
        </w:rPr>
        <w:t xml:space="preserve">מעבר לכך, החלטה של משיב 1 </w:t>
      </w:r>
      <w:r>
        <w:rPr>
          <w:rtl/>
        </w:rPr>
        <w:t>[המשרד]</w:t>
      </w:r>
      <w:r>
        <w:rPr>
          <w:b/>
          <w:bCs/>
          <w:rtl/>
        </w:rPr>
        <w:t xml:space="preserve"> היא החלטה המצויה בתחום מומחיותו, וממילא העותר לא הצביע על פגם ממשי שנפל בה ... כאמור, החלטה זו אף תואמת את בקשת המערער במסגרת העתירה הראשונה"</w:t>
      </w:r>
      <w:r>
        <w:rPr>
          <w:rtl/>
        </w:rPr>
        <w:t xml:space="preserve"> (פסקה 11). </w:t>
      </w:r>
    </w:p>
    <w:p w:rsidR="002939D4" w:rsidRDefault="002939D4" w:rsidP="002939D4">
      <w:pPr>
        <w:ind w:left="-58"/>
      </w:pPr>
    </w:p>
    <w:p w:rsidR="002939D4" w:rsidRDefault="002939D4" w:rsidP="00BD6AF3">
      <w:pPr>
        <w:pStyle w:val="ad"/>
        <w:numPr>
          <w:ilvl w:val="0"/>
          <w:numId w:val="2"/>
        </w:numPr>
        <w:spacing w:after="0"/>
        <w:ind w:left="509" w:right="0" w:hanging="567"/>
        <w:rPr>
          <w:rtl/>
        </w:rPr>
      </w:pPr>
      <w:r>
        <w:rPr>
          <w:rtl/>
        </w:rPr>
        <w:lastRenderedPageBreak/>
        <w:t xml:space="preserve">אף סבורני כי </w:t>
      </w:r>
      <w:r w:rsidR="00201029">
        <w:rPr>
          <w:rFonts w:hint="cs"/>
          <w:rtl/>
        </w:rPr>
        <w:t>יש טעם רב בט</w:t>
      </w:r>
      <w:r>
        <w:rPr>
          <w:rtl/>
        </w:rPr>
        <w:t>ענ</w:t>
      </w:r>
      <w:r w:rsidR="00201029">
        <w:rPr>
          <w:rFonts w:hint="cs"/>
          <w:rtl/>
        </w:rPr>
        <w:t>ת</w:t>
      </w:r>
      <w:r>
        <w:rPr>
          <w:rtl/>
        </w:rPr>
        <w:t xml:space="preserve"> המשיבה לקיומו של מעשה בית דין בכל הקשור להחלטת ההשתייכות</w:t>
      </w:r>
      <w:r w:rsidR="00201029">
        <w:rPr>
          <w:rFonts w:hint="cs"/>
          <w:rtl/>
        </w:rPr>
        <w:t xml:space="preserve"> לאור פסקי הדין בבג"ץ</w:t>
      </w:r>
      <w:r>
        <w:rPr>
          <w:rtl/>
        </w:rPr>
        <w:t xml:space="preserve">. זאת במיוחד (ולא רק) לאור פסק הדין בעתירה השנייה שבה נתקפה החלטת ההשתייכות, ואשר המשיב היה צד (פעיל) לה. משום מה סבור העותר כי פסק הדין בבג"ץ זה יוצר מעשה בית דין רק כלפי גרושתו (ראו סעיף 3.2 בעמוד 6 לערעור). </w:t>
      </w:r>
      <w:r w:rsidR="00201029">
        <w:rPr>
          <w:rFonts w:hint="cs"/>
          <w:rtl/>
        </w:rPr>
        <w:t xml:space="preserve">ואם לא די בכך, </w:t>
      </w:r>
      <w:r>
        <w:rPr>
          <w:rtl/>
        </w:rPr>
        <w:t xml:space="preserve">כפי שפורט לעיל, פסק הדין בעתירה השניה אושר בפסק הדין שניתן בעתירה השלישית. ממילא גם הדרך לתקוף את החלטת ההשתייכות היא בעתירה </w:t>
      </w:r>
      <w:r w:rsidR="00BD6AF3">
        <w:rPr>
          <w:rFonts w:hint="cs"/>
          <w:rtl/>
        </w:rPr>
        <w:t xml:space="preserve">כנגד החלטה זו שתוגש </w:t>
      </w:r>
      <w:r>
        <w:rPr>
          <w:rtl/>
        </w:rPr>
        <w:t xml:space="preserve">נגד </w:t>
      </w:r>
      <w:r w:rsidR="00BD6AF3">
        <w:rPr>
          <w:rFonts w:hint="cs"/>
          <w:rtl/>
        </w:rPr>
        <w:t>מקבל ההחלטה (</w:t>
      </w:r>
      <w:r w:rsidR="00BD6AF3">
        <w:rPr>
          <w:rtl/>
        </w:rPr>
        <w:t>ומוסמך לקבלה</w:t>
      </w:r>
      <w:r w:rsidR="00BD6AF3">
        <w:rPr>
          <w:rFonts w:hint="cs"/>
          <w:rtl/>
        </w:rPr>
        <w:t xml:space="preserve">), </w:t>
      </w:r>
      <w:r>
        <w:rPr>
          <w:rtl/>
        </w:rPr>
        <w:t xml:space="preserve">משרד הרווחה. </w:t>
      </w:r>
      <w:r w:rsidR="00BD6AF3">
        <w:rPr>
          <w:rFonts w:hint="cs"/>
          <w:rtl/>
        </w:rPr>
        <w:t>המשרד</w:t>
      </w:r>
      <w:r>
        <w:rPr>
          <w:rtl/>
        </w:rPr>
        <w:t xml:space="preserve">, כאמור, אין צד להליך בוועדת הערר או בערעור מינהלי זה. </w:t>
      </w:r>
    </w:p>
    <w:p w:rsidR="002939D4" w:rsidRDefault="002939D4" w:rsidP="00BD6AF3">
      <w:pPr>
        <w:spacing w:line="360" w:lineRule="auto"/>
        <w:ind w:left="-58"/>
      </w:pPr>
    </w:p>
    <w:p w:rsidR="002939D4" w:rsidRDefault="002939D4" w:rsidP="00A72B55">
      <w:pPr>
        <w:pStyle w:val="ad"/>
        <w:numPr>
          <w:ilvl w:val="0"/>
          <w:numId w:val="2"/>
        </w:numPr>
        <w:spacing w:after="0"/>
        <w:ind w:left="509" w:right="0" w:hanging="567"/>
        <w:rPr>
          <w:rtl/>
        </w:rPr>
      </w:pPr>
      <w:r>
        <w:rPr>
          <w:rtl/>
        </w:rPr>
        <w:t>למותר לציין כי גם לגופו של עניין, לא הציג המערער שמץ של תשתית ראייתית לטענותיו בדבר סכסוך כביכול בינו לבין המשיבה (המוכחש על ידי המשיבה); ובוודאי שלא סכסוך כאמור המצדיק שינוי או אף עיון מחדש בהחלטת ההשתייכות ומשעה שדבר קיומם של ההליכים היה ידוע כבר לעת הגשת העתירה הראשונה. נטענה טענה כללית וסתומה</w:t>
      </w:r>
      <w:r w:rsidR="00BD6AF3">
        <w:rPr>
          <w:rFonts w:hint="cs"/>
          <w:rtl/>
        </w:rPr>
        <w:t xml:space="preserve"> בדבר סכסוך כביכול</w:t>
      </w:r>
      <w:r>
        <w:rPr>
          <w:rtl/>
        </w:rPr>
        <w:t xml:space="preserve">, ללא כל פירוט (מלבד ציון מספרי ההליכים) ואף מבלי שהוצגו מסמכים. </w:t>
      </w:r>
      <w:r w:rsidR="00BD6AF3">
        <w:rPr>
          <w:rFonts w:hint="cs"/>
          <w:rtl/>
        </w:rPr>
        <w:t xml:space="preserve">ומנגד, </w:t>
      </w:r>
      <w:r>
        <w:rPr>
          <w:rtl/>
        </w:rPr>
        <w:t xml:space="preserve">המשיבה </w:t>
      </w:r>
      <w:r w:rsidR="00BD6AF3">
        <w:rPr>
          <w:rFonts w:hint="cs"/>
          <w:rtl/>
        </w:rPr>
        <w:t xml:space="preserve">מכחישה מכל וכל את הטענות ל"סכסוך" בכלל או לכזה שיש בו כדי להשפיע על התנהלות מי מגורמי מחלקת הרווחה של המשיבה. צוין כי </w:t>
      </w:r>
      <w:r>
        <w:rPr>
          <w:rtl/>
        </w:rPr>
        <w:t>פרט להליכי</w:t>
      </w:r>
      <w:r w:rsidR="00BD6AF3">
        <w:rPr>
          <w:rFonts w:hint="cs"/>
          <w:rtl/>
        </w:rPr>
        <w:t>ם</w:t>
      </w:r>
      <w:r>
        <w:rPr>
          <w:rtl/>
        </w:rPr>
        <w:t xml:space="preserve"> שניהל המערער כב"כ של אמו בפני ועדת ערר לתכנון ולבניה מחוז מרכז לא מוכרים להם הליכים נוספים</w:t>
      </w:r>
      <w:r w:rsidR="00BD6AF3">
        <w:rPr>
          <w:rFonts w:hint="cs"/>
          <w:rtl/>
        </w:rPr>
        <w:t xml:space="preserve"> ובאלה</w:t>
      </w:r>
      <w:r>
        <w:rPr>
          <w:rtl/>
        </w:rPr>
        <w:t xml:space="preserve"> אין כדי להשפיע על </w:t>
      </w:r>
      <w:r w:rsidR="00BD6AF3">
        <w:rPr>
          <w:rFonts w:hint="cs"/>
          <w:rtl/>
        </w:rPr>
        <w:t xml:space="preserve">התנהלות </w:t>
      </w:r>
      <w:r>
        <w:rPr>
          <w:rtl/>
        </w:rPr>
        <w:t xml:space="preserve">מחלקת הרווחה. כפי שצוין בפסק הדין בעתירה השלישית, גם כאן הטענות שהועלו נעדרות עיגון עובדתי </w:t>
      </w:r>
      <w:r w:rsidR="00A72B55">
        <w:rPr>
          <w:rFonts w:hint="cs"/>
          <w:rtl/>
        </w:rPr>
        <w:t xml:space="preserve">ומשפטי </w:t>
      </w:r>
      <w:r>
        <w:rPr>
          <w:rtl/>
        </w:rPr>
        <w:t>מינימאלי ומקובלת על</w:t>
      </w:r>
      <w:r w:rsidR="00A72B55">
        <w:rPr>
          <w:rFonts w:hint="cs"/>
          <w:rtl/>
        </w:rPr>
        <w:t xml:space="preserve"> בית המשפט</w:t>
      </w:r>
      <w:r>
        <w:rPr>
          <w:rtl/>
        </w:rPr>
        <w:t xml:space="preserve"> עמדת המשיבה </w:t>
      </w:r>
      <w:r w:rsidR="00A72B55">
        <w:rPr>
          <w:rFonts w:hint="cs"/>
          <w:rtl/>
        </w:rPr>
        <w:t xml:space="preserve">גם </w:t>
      </w:r>
      <w:r>
        <w:rPr>
          <w:rtl/>
        </w:rPr>
        <w:t>בעניין זה.</w:t>
      </w:r>
    </w:p>
    <w:p w:rsidR="002939D4" w:rsidRDefault="002939D4" w:rsidP="00A72B55">
      <w:pPr>
        <w:spacing w:line="360" w:lineRule="auto"/>
        <w:ind w:left="-58"/>
      </w:pPr>
    </w:p>
    <w:p w:rsidR="002939D4" w:rsidRDefault="002939D4" w:rsidP="00653223">
      <w:pPr>
        <w:pStyle w:val="ad"/>
        <w:numPr>
          <w:ilvl w:val="0"/>
          <w:numId w:val="2"/>
        </w:numPr>
        <w:spacing w:after="0"/>
        <w:ind w:left="509" w:right="0" w:hanging="567"/>
        <w:rPr>
          <w:rtl/>
        </w:rPr>
      </w:pPr>
      <w:r>
        <w:rPr>
          <w:rtl/>
        </w:rPr>
        <w:t>אציין עוד כי קשה שלא להתרשם מתוך עיון בטענות המערער</w:t>
      </w:r>
      <w:r w:rsidR="00A72B55">
        <w:rPr>
          <w:rFonts w:hint="cs"/>
          <w:rtl/>
        </w:rPr>
        <w:t xml:space="preserve"> במסמכים השונים ב</w:t>
      </w:r>
      <w:r>
        <w:rPr>
          <w:rtl/>
        </w:rPr>
        <w:t xml:space="preserve">מסגרת </w:t>
      </w:r>
      <w:r w:rsidR="00A72B55">
        <w:rPr>
          <w:rFonts w:hint="cs"/>
          <w:rtl/>
        </w:rPr>
        <w:t>כתבי הטענות ב</w:t>
      </w:r>
      <w:r>
        <w:rPr>
          <w:rtl/>
        </w:rPr>
        <w:t>ערעור זה כמו גם לפני ועדת הערר</w:t>
      </w:r>
      <w:r w:rsidR="00A72B55">
        <w:rPr>
          <w:rFonts w:hint="cs"/>
          <w:rtl/>
        </w:rPr>
        <w:t xml:space="preserve"> ובפניות המערער בכתב למשיבה</w:t>
      </w:r>
      <w:r>
        <w:rPr>
          <w:rtl/>
        </w:rPr>
        <w:t xml:space="preserve">, כי נראה שדעתו של המערער לא תהא נוחה מכל שיוך למחלקת הרווחה של רשות מקומית כזו או אחרת, שהרי המערער חוזר ומציין </w:t>
      </w:r>
      <w:r w:rsidR="00A72B55">
        <w:rPr>
          <w:rFonts w:hint="cs"/>
          <w:rtl/>
        </w:rPr>
        <w:t xml:space="preserve">בכל </w:t>
      </w:r>
      <w:r w:rsidR="00A72B55">
        <w:rPr>
          <w:rtl/>
        </w:rPr>
        <w:t xml:space="preserve">הזדמנויות </w:t>
      </w:r>
      <w:r w:rsidR="00A72B55">
        <w:rPr>
          <w:rFonts w:hint="cs"/>
          <w:rtl/>
        </w:rPr>
        <w:t>אפשרית,</w:t>
      </w:r>
      <w:r w:rsidR="00A72B55">
        <w:rPr>
          <w:rtl/>
        </w:rPr>
        <w:t xml:space="preserve"> </w:t>
      </w:r>
      <w:r>
        <w:rPr>
          <w:rtl/>
        </w:rPr>
        <w:t>כי "</w:t>
      </w:r>
      <w:r>
        <w:rPr>
          <w:b/>
          <w:bCs/>
          <w:rtl/>
        </w:rPr>
        <w:t>אינו מעוניין (לא בעבר, לא בהווה ולא בעתיד) בכל קשר עם מח' רווחה ברשות מקומית כלשהי, ומעולם לא פנה/יפנה אליה.."</w:t>
      </w:r>
      <w:r>
        <w:rPr>
          <w:rtl/>
        </w:rPr>
        <w:t xml:space="preserve"> (עמ' 4 לכתב הערעור סעיף ו1. ראו גם: סעיף 1</w:t>
      </w:r>
      <w:r w:rsidR="00B640EB">
        <w:rPr>
          <w:rFonts w:hint="cs"/>
          <w:rtl/>
        </w:rPr>
        <w:t>, סעיף 5 והסיפא</w:t>
      </w:r>
      <w:r>
        <w:rPr>
          <w:rtl/>
        </w:rPr>
        <w:t xml:space="preserve"> לתגובתו </w:t>
      </w:r>
      <w:r w:rsidR="00B640EB">
        <w:rPr>
          <w:rFonts w:hint="cs"/>
          <w:rtl/>
        </w:rPr>
        <w:t xml:space="preserve">של המערער </w:t>
      </w:r>
      <w:r>
        <w:rPr>
          <w:rtl/>
        </w:rPr>
        <w:t>לתשובת המשיבה לערעור</w:t>
      </w:r>
      <w:r w:rsidR="00B640EB">
        <w:rPr>
          <w:rFonts w:hint="cs"/>
          <w:rtl/>
        </w:rPr>
        <w:t>;</w:t>
      </w:r>
      <w:r>
        <w:rPr>
          <w:rtl/>
        </w:rPr>
        <w:t xml:space="preserve"> סעיף 4 לערר מיום 2.9.22 נספח 8 לערע</w:t>
      </w:r>
      <w:r w:rsidR="00A72B55">
        <w:rPr>
          <w:rFonts w:hint="cs"/>
          <w:rtl/>
        </w:rPr>
        <w:t>ו</w:t>
      </w:r>
      <w:r>
        <w:rPr>
          <w:rtl/>
        </w:rPr>
        <w:t>ר</w:t>
      </w:r>
      <w:r w:rsidR="00B640EB">
        <w:rPr>
          <w:rFonts w:hint="cs"/>
          <w:rtl/>
        </w:rPr>
        <w:t>;</w:t>
      </w:r>
      <w:r>
        <w:rPr>
          <w:rtl/>
        </w:rPr>
        <w:t xml:space="preserve"> </w:t>
      </w:r>
      <w:r w:rsidR="00B640EB">
        <w:rPr>
          <w:rFonts w:hint="cs"/>
          <w:rtl/>
        </w:rPr>
        <w:t>ו</w:t>
      </w:r>
      <w:r>
        <w:rPr>
          <w:rtl/>
        </w:rPr>
        <w:t xml:space="preserve">פנייתו של המערער בדוא"ל מיום 16.8.22). </w:t>
      </w:r>
      <w:r w:rsidR="00B640EB">
        <w:rPr>
          <w:rFonts w:hint="cs"/>
          <w:rtl/>
        </w:rPr>
        <w:t>ב</w:t>
      </w:r>
      <w:r w:rsidR="00CE2B54">
        <w:rPr>
          <w:rFonts w:hint="cs"/>
          <w:rtl/>
        </w:rPr>
        <w:t xml:space="preserve">טענותיו </w:t>
      </w:r>
      <w:r w:rsidR="00B640EB">
        <w:rPr>
          <w:rFonts w:hint="cs"/>
          <w:rtl/>
        </w:rPr>
        <w:t xml:space="preserve">גם הביע המערער </w:t>
      </w:r>
      <w:r w:rsidR="00CE2B54">
        <w:rPr>
          <w:rFonts w:hint="cs"/>
          <w:rtl/>
        </w:rPr>
        <w:t>חוסר הערכה בולט</w:t>
      </w:r>
      <w:r w:rsidR="00B640EB">
        <w:rPr>
          <w:rFonts w:hint="cs"/>
          <w:rtl/>
        </w:rPr>
        <w:t xml:space="preserve"> למחלקת הרווחה של הרשויות המקומיות המעורבות</w:t>
      </w:r>
      <w:r w:rsidR="000F5FC0">
        <w:rPr>
          <w:rFonts w:hint="cs"/>
          <w:rtl/>
        </w:rPr>
        <w:t>,</w:t>
      </w:r>
      <w:r w:rsidR="00B640EB">
        <w:rPr>
          <w:rFonts w:hint="cs"/>
          <w:rtl/>
        </w:rPr>
        <w:t xml:space="preserve"> </w:t>
      </w:r>
      <w:r w:rsidR="00CE2B54">
        <w:rPr>
          <w:rFonts w:hint="cs"/>
          <w:rtl/>
        </w:rPr>
        <w:t xml:space="preserve">חלקן </w:t>
      </w:r>
      <w:r w:rsidR="000F5FC0">
        <w:rPr>
          <w:rFonts w:hint="cs"/>
          <w:rtl/>
        </w:rPr>
        <w:t xml:space="preserve">נוסחו </w:t>
      </w:r>
      <w:r w:rsidR="00CE2B54">
        <w:rPr>
          <w:rFonts w:hint="cs"/>
          <w:rtl/>
        </w:rPr>
        <w:t xml:space="preserve">באופן שמעורר </w:t>
      </w:r>
      <w:r w:rsidR="000F5FC0">
        <w:rPr>
          <w:rFonts w:hint="cs"/>
          <w:rtl/>
        </w:rPr>
        <w:t xml:space="preserve">בלשון המעטה, </w:t>
      </w:r>
      <w:r w:rsidR="00CE2B54">
        <w:rPr>
          <w:rFonts w:hint="cs"/>
          <w:rtl/>
        </w:rPr>
        <w:t>אי נוחות (ראו למשל</w:t>
      </w:r>
      <w:r w:rsidR="00B640EB">
        <w:rPr>
          <w:rFonts w:hint="cs"/>
          <w:rtl/>
        </w:rPr>
        <w:t xml:space="preserve"> </w:t>
      </w:r>
      <w:r w:rsidR="000F5FC0">
        <w:rPr>
          <w:rFonts w:hint="cs"/>
          <w:rtl/>
        </w:rPr>
        <w:t>בס</w:t>
      </w:r>
      <w:r w:rsidR="00653223">
        <w:rPr>
          <w:rFonts w:hint="cs"/>
          <w:rtl/>
        </w:rPr>
        <w:t>עיף</w:t>
      </w:r>
      <w:r w:rsidR="000F5FC0">
        <w:rPr>
          <w:rFonts w:hint="cs"/>
          <w:rtl/>
        </w:rPr>
        <w:t xml:space="preserve"> 3 בעמ</w:t>
      </w:r>
      <w:r w:rsidR="00653223">
        <w:rPr>
          <w:rFonts w:hint="cs"/>
          <w:rtl/>
        </w:rPr>
        <w:t>וד</w:t>
      </w:r>
      <w:r w:rsidR="000F5FC0">
        <w:rPr>
          <w:rFonts w:hint="cs"/>
          <w:rtl/>
        </w:rPr>
        <w:t xml:space="preserve"> 5 ו</w:t>
      </w:r>
      <w:r w:rsidR="00B640EB">
        <w:rPr>
          <w:rFonts w:hint="cs"/>
          <w:rtl/>
        </w:rPr>
        <w:t>בס</w:t>
      </w:r>
      <w:r w:rsidR="00653223">
        <w:rPr>
          <w:rFonts w:hint="cs"/>
          <w:rtl/>
        </w:rPr>
        <w:t>עיף</w:t>
      </w:r>
      <w:r w:rsidR="00B640EB">
        <w:rPr>
          <w:rFonts w:hint="cs"/>
          <w:rtl/>
        </w:rPr>
        <w:t xml:space="preserve"> 9 בעמ</w:t>
      </w:r>
      <w:r w:rsidR="00653223">
        <w:rPr>
          <w:rFonts w:hint="cs"/>
          <w:rtl/>
        </w:rPr>
        <w:t>וד</w:t>
      </w:r>
      <w:r w:rsidR="00B640EB">
        <w:rPr>
          <w:rFonts w:hint="cs"/>
          <w:rtl/>
        </w:rPr>
        <w:t xml:space="preserve"> 9 ל</w:t>
      </w:r>
      <w:r w:rsidR="000F5FC0">
        <w:rPr>
          <w:rFonts w:hint="cs"/>
          <w:rtl/>
        </w:rPr>
        <w:t>כתב ה</w:t>
      </w:r>
      <w:r w:rsidR="00B640EB">
        <w:rPr>
          <w:rFonts w:hint="cs"/>
          <w:rtl/>
        </w:rPr>
        <w:t>ערעור</w:t>
      </w:r>
      <w:r w:rsidR="000F5FC0">
        <w:rPr>
          <w:rFonts w:hint="cs"/>
          <w:rtl/>
        </w:rPr>
        <w:t>;</w:t>
      </w:r>
      <w:r w:rsidR="00B640EB">
        <w:rPr>
          <w:rFonts w:hint="cs"/>
          <w:rtl/>
        </w:rPr>
        <w:t xml:space="preserve"> ובס</w:t>
      </w:r>
      <w:r w:rsidR="00653223">
        <w:rPr>
          <w:rFonts w:hint="cs"/>
          <w:rtl/>
        </w:rPr>
        <w:t>עיף</w:t>
      </w:r>
      <w:r w:rsidR="00B640EB">
        <w:rPr>
          <w:rFonts w:hint="cs"/>
          <w:rtl/>
        </w:rPr>
        <w:t xml:space="preserve"> 7</w:t>
      </w:r>
      <w:r w:rsidR="00CE2B54">
        <w:rPr>
          <w:rFonts w:hint="cs"/>
          <w:rtl/>
        </w:rPr>
        <w:t xml:space="preserve"> </w:t>
      </w:r>
      <w:r w:rsidR="00B640EB">
        <w:rPr>
          <w:rFonts w:hint="cs"/>
          <w:rtl/>
        </w:rPr>
        <w:t>בעמ</w:t>
      </w:r>
      <w:r w:rsidR="00653223">
        <w:rPr>
          <w:rFonts w:hint="cs"/>
          <w:rtl/>
        </w:rPr>
        <w:t>וד</w:t>
      </w:r>
      <w:r w:rsidR="00B640EB">
        <w:rPr>
          <w:rFonts w:hint="cs"/>
          <w:rtl/>
        </w:rPr>
        <w:t xml:space="preserve"> 4 לתגובה לתשובה).</w:t>
      </w:r>
    </w:p>
    <w:p w:rsidR="002939D4" w:rsidRDefault="002939D4" w:rsidP="00A72B55">
      <w:pPr>
        <w:spacing w:line="360" w:lineRule="auto"/>
        <w:ind w:left="-58"/>
        <w:rPr>
          <w:rtl/>
        </w:rPr>
      </w:pPr>
    </w:p>
    <w:p w:rsidR="002939D4" w:rsidRDefault="002939D4" w:rsidP="002939D4">
      <w:pPr>
        <w:pStyle w:val="ad"/>
        <w:numPr>
          <w:ilvl w:val="0"/>
          <w:numId w:val="2"/>
        </w:numPr>
        <w:spacing w:after="0"/>
        <w:ind w:left="509" w:right="0" w:hanging="567"/>
        <w:rPr>
          <w:rtl/>
        </w:rPr>
      </w:pPr>
      <w:r>
        <w:rPr>
          <w:rtl/>
        </w:rPr>
        <w:lastRenderedPageBreak/>
        <w:t>אשר לסעד החלופי שהתבקש (</w:t>
      </w:r>
      <w:r w:rsidR="00653223">
        <w:rPr>
          <w:rFonts w:hint="cs"/>
          <w:rtl/>
        </w:rPr>
        <w:t>הוצג כ</w:t>
      </w:r>
      <w:r>
        <w:rPr>
          <w:rtl/>
        </w:rPr>
        <w:t>חלופי לסעד הראשון) לקבוע כי "</w:t>
      </w:r>
      <w:r>
        <w:rPr>
          <w:b/>
          <w:bCs/>
          <w:rtl/>
        </w:rPr>
        <w:t>מינוי עו"ס לס.ד פרטית שתמונה בפועל, לאלתר, יענה על החלטת המינוי של בימ"ש לענייני משפחה</w:t>
      </w:r>
      <w:r>
        <w:rPr>
          <w:rtl/>
        </w:rPr>
        <w:t>" - אין מקומו של הסעד המבוקש במסגרת הערעור כאן. בית משפט זה יושב כערכאת ערעור על החלטת ועדת הערר. ועדת הערר, אשר שואבת סמכותה מכוח סעיף 2 לחוק הסעד, אינה מוסמכת לקבוע דבר ביחס להחלטת בית משפט למשפחה לפי חוק הנוער (טיפול והשגחה), תש"ך</w:t>
      </w:r>
      <w:r w:rsidR="00A72B55">
        <w:rPr>
          <w:rFonts w:hint="cs"/>
          <w:rtl/>
        </w:rPr>
        <w:t xml:space="preserve"> </w:t>
      </w:r>
      <w:r>
        <w:rPr>
          <w:rtl/>
        </w:rPr>
        <w:t>-</w:t>
      </w:r>
      <w:r w:rsidR="00A72B55">
        <w:rPr>
          <w:rFonts w:hint="cs"/>
          <w:rtl/>
        </w:rPr>
        <w:t xml:space="preserve"> </w:t>
      </w:r>
      <w:r>
        <w:rPr>
          <w:rtl/>
        </w:rPr>
        <w:t xml:space="preserve">1960 למנות עובד סוציאלי. המערער אף מודע לכך, שכן כעולה מטענות הצדדים המערער הגיש  לבית המשפט המחוזי ערעור על החלטה זו. </w:t>
      </w:r>
    </w:p>
    <w:p w:rsidR="002939D4" w:rsidRDefault="002939D4" w:rsidP="00A72B55">
      <w:pPr>
        <w:spacing w:line="360" w:lineRule="auto"/>
        <w:ind w:left="-58"/>
        <w:rPr>
          <w:rtl/>
        </w:rPr>
      </w:pPr>
    </w:p>
    <w:p w:rsidR="002939D4" w:rsidRDefault="002939D4" w:rsidP="002939D4">
      <w:pPr>
        <w:ind w:left="-58"/>
        <w:rPr>
          <w:u w:val="single"/>
          <w:rtl/>
        </w:rPr>
      </w:pPr>
      <w:r>
        <w:rPr>
          <w:u w:val="single"/>
          <w:rtl/>
        </w:rPr>
        <w:t>לסעד השני שהתבקש, להורות על ביטול החלטת ועדת תכנון טיפול מיום 7.9.22.</w:t>
      </w:r>
    </w:p>
    <w:p w:rsidR="002939D4" w:rsidRDefault="002939D4" w:rsidP="002939D4">
      <w:pPr>
        <w:pStyle w:val="ad"/>
        <w:spacing w:after="0" w:line="240" w:lineRule="auto"/>
      </w:pPr>
    </w:p>
    <w:p w:rsidR="002939D4" w:rsidRDefault="002939D4" w:rsidP="00D56726">
      <w:pPr>
        <w:pStyle w:val="ad"/>
        <w:numPr>
          <w:ilvl w:val="0"/>
          <w:numId w:val="2"/>
        </w:numPr>
        <w:spacing w:after="0"/>
        <w:ind w:left="509" w:right="0" w:hanging="567"/>
        <w:rPr>
          <w:rtl/>
        </w:rPr>
      </w:pPr>
      <w:r>
        <w:rPr>
          <w:rtl/>
        </w:rPr>
        <w:t xml:space="preserve">אני דוחה את הערעור גם בכל הקשור להחלטת ועדת תכנון טיפול מיום 7.9.22. לאחר עיון בטענות הצדדים, </w:t>
      </w:r>
      <w:r w:rsidR="000F5FC0">
        <w:rPr>
          <w:rFonts w:hint="cs"/>
          <w:rtl/>
        </w:rPr>
        <w:t xml:space="preserve">סבורני כי </w:t>
      </w:r>
      <w:r>
        <w:rPr>
          <w:rtl/>
        </w:rPr>
        <w:t xml:space="preserve">לא </w:t>
      </w:r>
      <w:r w:rsidR="00A72B55">
        <w:rPr>
          <w:rFonts w:hint="cs"/>
          <w:rtl/>
        </w:rPr>
        <w:t>עלה בידי המערער לה</w:t>
      </w:r>
      <w:r w:rsidR="000F5FC0">
        <w:rPr>
          <w:rFonts w:hint="cs"/>
          <w:rtl/>
        </w:rPr>
        <w:t xml:space="preserve">ניח תשתית עובדתית או משפטית המצדיקה התערבות </w:t>
      </w:r>
      <w:r>
        <w:rPr>
          <w:rtl/>
        </w:rPr>
        <w:t xml:space="preserve">בהחלטת וועדת הערר </w:t>
      </w:r>
      <w:r w:rsidR="000F5FC0">
        <w:rPr>
          <w:rFonts w:hint="cs"/>
          <w:rtl/>
        </w:rPr>
        <w:t xml:space="preserve">(גם) </w:t>
      </w:r>
      <w:r>
        <w:rPr>
          <w:rtl/>
        </w:rPr>
        <w:t>בעניין זה</w:t>
      </w:r>
      <w:r w:rsidR="000F5FC0">
        <w:rPr>
          <w:rFonts w:hint="cs"/>
          <w:rtl/>
        </w:rPr>
        <w:t>;</w:t>
      </w:r>
      <w:r w:rsidR="00CE2B54">
        <w:rPr>
          <w:rFonts w:hint="cs"/>
          <w:rtl/>
        </w:rPr>
        <w:t xml:space="preserve"> </w:t>
      </w:r>
      <w:r w:rsidR="000F5FC0">
        <w:rPr>
          <w:rFonts w:hint="cs"/>
          <w:rtl/>
        </w:rPr>
        <w:t>ולא מצאתי</w:t>
      </w:r>
      <w:r w:rsidR="00CE2B54">
        <w:rPr>
          <w:rFonts w:hint="cs"/>
          <w:rtl/>
        </w:rPr>
        <w:t xml:space="preserve"> כי נפל בהחלטתה או בהתנהלותה </w:t>
      </w:r>
      <w:r w:rsidR="000F5FC0">
        <w:rPr>
          <w:rFonts w:hint="cs"/>
          <w:rtl/>
        </w:rPr>
        <w:t xml:space="preserve">של ועדת הערר </w:t>
      </w:r>
      <w:r w:rsidR="00CE2B54">
        <w:rPr>
          <w:rFonts w:hint="cs"/>
          <w:rtl/>
        </w:rPr>
        <w:t xml:space="preserve">(או </w:t>
      </w:r>
      <w:r w:rsidR="00D56726">
        <w:rPr>
          <w:rFonts w:hint="cs"/>
          <w:rtl/>
        </w:rPr>
        <w:t xml:space="preserve">של </w:t>
      </w:r>
      <w:r w:rsidR="00CE2B54">
        <w:rPr>
          <w:rFonts w:hint="cs"/>
          <w:rtl/>
        </w:rPr>
        <w:t xml:space="preserve">ועדת תכנון טיפול) </w:t>
      </w:r>
      <w:r w:rsidR="00D56726">
        <w:rPr>
          <w:rFonts w:hint="cs"/>
          <w:rtl/>
        </w:rPr>
        <w:t xml:space="preserve">פגם </w:t>
      </w:r>
      <w:r w:rsidR="00CE2B54">
        <w:rPr>
          <w:rFonts w:hint="cs"/>
          <w:rtl/>
        </w:rPr>
        <w:t>המצדיק קבלת הערעור</w:t>
      </w:r>
      <w:r>
        <w:rPr>
          <w:rtl/>
        </w:rPr>
        <w:t xml:space="preserve">. </w:t>
      </w:r>
    </w:p>
    <w:p w:rsidR="002939D4" w:rsidRDefault="002939D4" w:rsidP="00CE2B54">
      <w:pPr>
        <w:spacing w:line="360" w:lineRule="auto"/>
        <w:ind w:left="-58"/>
      </w:pPr>
    </w:p>
    <w:p w:rsidR="002939D4" w:rsidRDefault="002939D4" w:rsidP="000F5FC0">
      <w:pPr>
        <w:pStyle w:val="ad"/>
        <w:numPr>
          <w:ilvl w:val="0"/>
          <w:numId w:val="2"/>
        </w:numPr>
        <w:spacing w:after="0"/>
        <w:ind w:left="509" w:right="0" w:hanging="567"/>
        <w:rPr>
          <w:rtl/>
        </w:rPr>
      </w:pPr>
      <w:r>
        <w:rPr>
          <w:rtl/>
        </w:rPr>
        <w:t>כאמור לעיל, במסגרת החלטת ההשתייכות קבע המשרד כי בנסיבות העניין והטיפול של שתי מחלקות במשפחתו של המערער, יש לקיים ועדה לתכנון טיפול שתנוהל על ידי המחלקה בעמק חפר בשיתוף שתי המחלקות. לטענת המערער נפלה שורת פגמים בהתנהלות הוועדה לתכנון טיפול. הטענ</w:t>
      </w:r>
      <w:r w:rsidR="00CE2B54">
        <w:rPr>
          <w:rFonts w:hint="cs"/>
          <w:rtl/>
        </w:rPr>
        <w:t xml:space="preserve">ה </w:t>
      </w:r>
      <w:r>
        <w:rPr>
          <w:rtl/>
        </w:rPr>
        <w:t xml:space="preserve">העיקרית היא </w:t>
      </w:r>
      <w:r w:rsidR="00CE2B54">
        <w:rPr>
          <w:rFonts w:hint="cs"/>
          <w:rtl/>
        </w:rPr>
        <w:t xml:space="preserve">לפגיעה בכללי הצדק הטבעי </w:t>
      </w:r>
      <w:r w:rsidR="000F5FC0">
        <w:rPr>
          <w:rFonts w:hint="cs"/>
          <w:rtl/>
        </w:rPr>
        <w:t>ובין היתר, מהטעם ש</w:t>
      </w:r>
      <w:r w:rsidR="00CE2B54">
        <w:rPr>
          <w:rFonts w:hint="cs"/>
          <w:rtl/>
        </w:rPr>
        <w:t xml:space="preserve">המערער </w:t>
      </w:r>
      <w:r>
        <w:rPr>
          <w:rtl/>
        </w:rPr>
        <w:t xml:space="preserve">לא זומן כדין בדואר רשום לישיבת הוועדה שנועדה ליום 7.9.22, לא נערכה עמו ישיבת הכנה כנדרש ובישיבה אף הופתע לגלות כי נדון גם עניינה של ביתו ולא רק עניין בנו; </w:t>
      </w:r>
      <w:r w:rsidR="00CE2B54">
        <w:rPr>
          <w:rFonts w:hint="cs"/>
          <w:rtl/>
        </w:rPr>
        <w:t xml:space="preserve">אף לא קיבל את המסמכים שביקש; </w:t>
      </w:r>
      <w:r>
        <w:rPr>
          <w:rtl/>
        </w:rPr>
        <w:t>ו</w:t>
      </w:r>
      <w:r w:rsidR="00CE2B54">
        <w:rPr>
          <w:rFonts w:hint="cs"/>
          <w:rtl/>
        </w:rPr>
        <w:t>ב</w:t>
      </w:r>
      <w:r>
        <w:rPr>
          <w:rtl/>
        </w:rPr>
        <w:t xml:space="preserve">פרק הזמן שהיה בידו עד לישיבה, לא סיפק על מנת שיכין תכנית טיפול אלטרנטיבית.  </w:t>
      </w:r>
    </w:p>
    <w:p w:rsidR="002939D4" w:rsidRDefault="002939D4" w:rsidP="00CE2B54">
      <w:pPr>
        <w:spacing w:line="360" w:lineRule="auto"/>
        <w:ind w:left="-58"/>
      </w:pPr>
    </w:p>
    <w:p w:rsidR="002939D4" w:rsidRDefault="002939D4" w:rsidP="002939D4">
      <w:pPr>
        <w:pStyle w:val="ad"/>
        <w:numPr>
          <w:ilvl w:val="0"/>
          <w:numId w:val="2"/>
        </w:numPr>
        <w:spacing w:after="0"/>
        <w:ind w:left="509" w:right="0" w:hanging="567"/>
        <w:rPr>
          <w:rtl/>
        </w:rPr>
      </w:pPr>
      <w:r>
        <w:rPr>
          <w:rtl/>
        </w:rPr>
        <w:t xml:space="preserve">ועדת הערר קבעה כי </w:t>
      </w:r>
      <w:r>
        <w:rPr>
          <w:b/>
          <w:bCs/>
          <w:rtl/>
        </w:rPr>
        <w:t>"העורר טען בנוסף שלא זומן לוועדה לתכנון טיפול וכי לא התאפשר לו להכין תכנית טיפול אלטרנטיבית. שמענו את נציג המחלקה והראו לנו בכתובים כי העורר זומן ובדרכים שונות ולא נענה להזמנות. המחלקה ניסתה לזמן אותו לישיבת הכנה אך הוא לא יצר קשר עם המחלקה. על כן, אנו דוחים את הערר בנושא אי זימונו לוועדה</w:t>
      </w:r>
      <w:r>
        <w:rPr>
          <w:rtl/>
        </w:rPr>
        <w:t>." המשיבה בתשובה לערעור עמדה אף היא על כך שהמערער בחר במכוון ובמודע להתעלם מפנייתן של נציגות המשיבה, וסבורה כי בדין קבעה ועדת הערר את אשר קבעה</w:t>
      </w:r>
      <w:r w:rsidR="00212010">
        <w:rPr>
          <w:rFonts w:hint="cs"/>
          <w:rtl/>
        </w:rPr>
        <w:t>,</w:t>
      </w:r>
      <w:r>
        <w:rPr>
          <w:rtl/>
        </w:rPr>
        <w:t xml:space="preserve"> ודחתה את טענותיו כי לא ניתנה אפשרות לקיים ישיבת הכנה והכרוך בכך. </w:t>
      </w:r>
    </w:p>
    <w:p w:rsidR="002939D4" w:rsidRDefault="002939D4" w:rsidP="002939D4">
      <w:pPr>
        <w:pStyle w:val="ad"/>
      </w:pPr>
    </w:p>
    <w:p w:rsidR="002939D4" w:rsidRDefault="002939D4" w:rsidP="00653223">
      <w:pPr>
        <w:pStyle w:val="ad"/>
        <w:numPr>
          <w:ilvl w:val="0"/>
          <w:numId w:val="2"/>
        </w:numPr>
        <w:spacing w:after="0"/>
        <w:ind w:left="509" w:right="0" w:hanging="567"/>
        <w:rPr>
          <w:rtl/>
        </w:rPr>
      </w:pPr>
      <w:r>
        <w:rPr>
          <w:rtl/>
        </w:rPr>
        <w:lastRenderedPageBreak/>
        <w:t xml:space="preserve">לא מצאתי להתערב בהחלטת ועדת הערר אשר עיינה במסמכים, שמעה את טענות הצדדים </w:t>
      </w:r>
      <w:r w:rsidR="00212010">
        <w:rPr>
          <w:rFonts w:hint="cs"/>
          <w:rtl/>
        </w:rPr>
        <w:t>לרבות המערער ו</w:t>
      </w:r>
      <w:r>
        <w:rPr>
          <w:rtl/>
        </w:rPr>
        <w:t>נציגות המשיבה שנכחו בדיון</w:t>
      </w:r>
      <w:r w:rsidR="00C33B06">
        <w:rPr>
          <w:rFonts w:hint="cs"/>
          <w:rtl/>
        </w:rPr>
        <w:t>,</w:t>
      </w:r>
      <w:r w:rsidR="00C33B06" w:rsidRPr="00C33B06">
        <w:rPr>
          <w:rFonts w:hint="cs"/>
          <w:rtl/>
        </w:rPr>
        <w:t xml:space="preserve"> </w:t>
      </w:r>
      <w:r w:rsidR="00C33B06">
        <w:rPr>
          <w:rFonts w:hint="cs"/>
          <w:rtl/>
        </w:rPr>
        <w:t xml:space="preserve">ולא מצאתי כי נפגעה זכות הטיעון של המערער לפני ועדת הערר או שנפגעו כללי הצדק הטבעי בדיון </w:t>
      </w:r>
      <w:r w:rsidR="00653223">
        <w:rPr>
          <w:rFonts w:hint="cs"/>
          <w:rtl/>
        </w:rPr>
        <w:t>לפניה או בו</w:t>
      </w:r>
      <w:r w:rsidR="00C33B06">
        <w:rPr>
          <w:rFonts w:hint="cs"/>
          <w:rtl/>
        </w:rPr>
        <w:t>ועדת תכנון טיפול</w:t>
      </w:r>
      <w:r>
        <w:rPr>
          <w:rtl/>
        </w:rPr>
        <w:t xml:space="preserve">. </w:t>
      </w:r>
      <w:r w:rsidR="00206094">
        <w:rPr>
          <w:rFonts w:hint="cs"/>
          <w:rtl/>
        </w:rPr>
        <w:t xml:space="preserve">מעיון בפרוטוקול ועדת הערר המערער נשמע באריכות והתאפשר לו להשמיע טענותיו (בנוסף למה שכתב), ולצדדים התאפשר להגיב האחד לטענות האחר. </w:t>
      </w:r>
      <w:r w:rsidR="00653223">
        <w:rPr>
          <w:rFonts w:hint="cs"/>
          <w:rtl/>
        </w:rPr>
        <w:t xml:space="preserve">לחלק מהטענות אף ניתנה תשובה במסגרת הדיון. </w:t>
      </w:r>
      <w:r>
        <w:rPr>
          <w:rtl/>
        </w:rPr>
        <w:t xml:space="preserve">החלטת הוועדה שלפיה זומן המערער לוועדה לתכנון טיפול ולישיבת הכנה אך לא שיתף פעולה ולא יצר קשר, נשענת על תשתית עובדתית מבוררת שעולה בקנה אחד עם המסמכים שלפניי </w:t>
      </w:r>
      <w:r w:rsidR="00206094">
        <w:rPr>
          <w:rFonts w:hint="cs"/>
          <w:rtl/>
        </w:rPr>
        <w:t>ו</w:t>
      </w:r>
      <w:r>
        <w:rPr>
          <w:rtl/>
        </w:rPr>
        <w:t>ב</w:t>
      </w:r>
      <w:r w:rsidR="00206094">
        <w:rPr>
          <w:rFonts w:hint="cs"/>
          <w:rtl/>
        </w:rPr>
        <w:t xml:space="preserve">דין </w:t>
      </w:r>
      <w:r>
        <w:rPr>
          <w:rtl/>
        </w:rPr>
        <w:t>נקבע כי אין המערער יכול להיתלות בחוסר שיתוף הפעולה מצדו על מנת לתקוף את החלטת ועדת תכנון טיפול (או החלטת ועדת הערר בערר על החלטתה).</w:t>
      </w:r>
      <w:r w:rsidR="00206094">
        <w:rPr>
          <w:rFonts w:hint="cs"/>
          <w:rtl/>
        </w:rPr>
        <w:t xml:space="preserve"> </w:t>
      </w:r>
    </w:p>
    <w:p w:rsidR="002939D4" w:rsidRDefault="002939D4" w:rsidP="00C33B06">
      <w:pPr>
        <w:spacing w:line="360" w:lineRule="auto"/>
        <w:ind w:left="-58"/>
      </w:pPr>
    </w:p>
    <w:p w:rsidR="002939D4" w:rsidRDefault="002939D4" w:rsidP="00653223">
      <w:pPr>
        <w:pStyle w:val="ad"/>
        <w:numPr>
          <w:ilvl w:val="0"/>
          <w:numId w:val="2"/>
        </w:numPr>
        <w:spacing w:after="0"/>
        <w:ind w:left="509" w:right="0" w:hanging="567"/>
        <w:rPr>
          <w:rtl/>
        </w:rPr>
      </w:pPr>
      <w:r>
        <w:rPr>
          <w:rtl/>
        </w:rPr>
        <w:t xml:space="preserve">בהקשר זה ראיתי לציין עוד כי המערער צירף לערעור חלק מסמך ששלח למשיבה בדוא"ל מיום 16.8.22, ובמסגרתו ביקש מסמכים נתונים ופרטים שלטענתו לא קיבל (נספח 7). המערער מציין כי הוא מצרף לערעור "חלק מהמייל". </w:t>
      </w:r>
      <w:r w:rsidR="00653223">
        <w:rPr>
          <w:rFonts w:hint="cs"/>
          <w:rtl/>
        </w:rPr>
        <w:t xml:space="preserve">חלק זה הוא למעשה </w:t>
      </w:r>
      <w:r>
        <w:rPr>
          <w:rtl/>
        </w:rPr>
        <w:t>מקטע ערוך על ידו, שנגזר מדוא"ל שלם, ו</w:t>
      </w:r>
      <w:r w:rsidR="00C33B06">
        <w:rPr>
          <w:rFonts w:hint="cs"/>
          <w:rtl/>
        </w:rPr>
        <w:t xml:space="preserve">צורף לערעור </w:t>
      </w:r>
      <w:r>
        <w:rPr>
          <w:rtl/>
        </w:rPr>
        <w:t xml:space="preserve">כשהוא ערום מכל פרט שמקובל למצוא בתכתובת דוא"ל (תאריך, זהות הנמען והשולח). המשיבה צירפה את הודעת הדוא"ל של המערער מיום 16.8.22 כפי שהיא במלואה, לרבות פניית נציגת המשיבה שקדמה לה (נספחים 2-3). </w:t>
      </w:r>
      <w:r w:rsidR="00C33B06">
        <w:rPr>
          <w:rFonts w:hint="cs"/>
          <w:rtl/>
        </w:rPr>
        <w:t>נמצא כי</w:t>
      </w:r>
      <w:r>
        <w:rPr>
          <w:rtl/>
        </w:rPr>
        <w:t xml:space="preserve"> הודעת דוא"ל ראשונה נשלחה למערער על ידי נציגת המשיבה - עו"ס מרחבי שגם נכחה בדיון בוועדת הערר - ביום 26.7.22 (לאחר פסק הדין בעתירה השנייה) ולפיה "</w:t>
      </w:r>
      <w:r>
        <w:rPr>
          <w:b/>
          <w:bCs/>
          <w:rtl/>
        </w:rPr>
        <w:t>לאחר מספר ניסיונות להשיג אותך טלפונית ללא מענה כותבת כאן ... כידוע לך עפ"י החלטת משרד הרווחה הטיפול בעניינם של ילדיך הועבר למחלקתנו. הינך מוזמן לוועדה לתכנון טיפול שתיערך בתאריך ה 17.8.22 בשעה 11:30 במחלקתנו. במהלך אוגוסט אצור עמך קשר לתיאום פגישה להכנה לוועדה והקראת הדוח לוועדה. האם יש ימים/שעות המועדפים עליך? אנא אשר קבלת המייל והגעתך</w:t>
      </w:r>
      <w:r>
        <w:rPr>
          <w:rtl/>
        </w:rPr>
        <w:t xml:space="preserve">" (נספח 2 לתשובה). הפניה נותרה ללא מענה. ביום </w:t>
      </w:r>
      <w:r w:rsidR="00C33B06">
        <w:rPr>
          <w:rFonts w:hint="cs"/>
          <w:rtl/>
        </w:rPr>
        <w:t>3.8</w:t>
      </w:r>
      <w:r>
        <w:rPr>
          <w:rtl/>
        </w:rPr>
        <w:t>.22 פנתה נציגת המשיבה הנ"ל למערער נוספות וציינה כי "</w:t>
      </w:r>
      <w:r>
        <w:rPr>
          <w:b/>
          <w:bCs/>
          <w:rtl/>
        </w:rPr>
        <w:t>לאחר מספר ניסיונות להשיג אותך טלפונית וגם במייל ללא מענה, מצורפת הזמנה לוועדת תכנון וטיפול שתערך ביום 17.8.22 בשעה 11:30 במחלקתנו. בנוסף, מצורף מסמך הזמנה לפגישת הכנה והיכרות. חשוב לנו להכיר אותך ולשמוע את עמדותיך בנוגע לילדיך, מוזמן ליצור קשר בטלפון או במייל</w:t>
      </w:r>
      <w:r>
        <w:rPr>
          <w:rtl/>
        </w:rPr>
        <w:t xml:space="preserve">" (נספח 3 לתשובה). להודעה זו השיב המערער רק ביום 16.8.22 (יום לפני המועד שתוכנן) תוך שביקש לדחות את הוועדה. המערער ציין כי הוא באבל, ואינו יכול להגיע לוועדה ביום המחרת, והוסיף שאלות ובקשות למידע למכביר. עוד כתב המערער </w:t>
      </w:r>
      <w:r>
        <w:rPr>
          <w:b/>
          <w:bCs/>
          <w:rtl/>
        </w:rPr>
        <w:t>"מעולם לא פניתי למחלקתך, או למחלקה לשירותים חברתיים בכל רשות מקומית אחרת בעבר ואין לי כל כוונה לפנות למחלקתך או למחלקה לשירותים חברתיים ברשות מקומית אחרת גם בעתיד בבקשת סיוע או טיפול</w:t>
      </w:r>
      <w:r>
        <w:rPr>
          <w:rtl/>
        </w:rPr>
        <w:t xml:space="preserve">" (וטענות נוספות שלא מצויות ב"חלק מהמייל", כפי שהגדיר המערער את המסמך </w:t>
      </w:r>
      <w:r w:rsidR="00C33B06">
        <w:rPr>
          <w:rFonts w:hint="cs"/>
          <w:rtl/>
        </w:rPr>
        <w:t xml:space="preserve">החסר </w:t>
      </w:r>
      <w:r w:rsidR="00C33B06">
        <w:rPr>
          <w:rFonts w:hint="cs"/>
          <w:rtl/>
        </w:rPr>
        <w:lastRenderedPageBreak/>
        <w:t>ו</w:t>
      </w:r>
      <w:r>
        <w:rPr>
          <w:rtl/>
        </w:rPr>
        <w:t xml:space="preserve">הערוך שבחר לצרף לערעור). קשה לקבל התנהלות זו של המערער בצירוף מסמך חלקי, ואף מבלי לצרף את פניות המשיבה שקדמו לו. התנהלות זו אינה עולה בקנה אחד עם המצופה מבעל דין ועם החובה לנהוג בניקיון כפיים ולגלות את מלוא המידע לבית המשפט, בוודאי בערעור לבית המשפט לעניינים מנהליים. </w:t>
      </w:r>
    </w:p>
    <w:p w:rsidR="002939D4" w:rsidRDefault="002939D4" w:rsidP="00C33B06">
      <w:pPr>
        <w:spacing w:line="360" w:lineRule="auto"/>
        <w:ind w:left="-58"/>
      </w:pPr>
    </w:p>
    <w:p w:rsidR="002939D4" w:rsidRDefault="002939D4" w:rsidP="007305BF">
      <w:pPr>
        <w:pStyle w:val="ad"/>
        <w:numPr>
          <w:ilvl w:val="0"/>
          <w:numId w:val="2"/>
        </w:numPr>
        <w:spacing w:after="0"/>
        <w:ind w:left="509" w:right="0" w:hanging="567"/>
      </w:pPr>
      <w:r>
        <w:rPr>
          <w:rtl/>
        </w:rPr>
        <w:t xml:space="preserve">המערער טוען עוד כי לפי הודעת עו"ס לבית משפט לענייני משפחה (ההודעה לא צורפה), סבור היה כי בוועדת התכנון וטיפול יידון עניינו של בהן אך הופתע שדנו גם בעניין ביתו מבלי שהמערער ידע על כך מראש. כאמור, וועדת הערר השתכנעה כי נציגות המשיבה ניסו פעמים רבות ליצור קשר עם המערער </w:t>
      </w:r>
      <w:r w:rsidR="00653223">
        <w:rPr>
          <w:rFonts w:hint="cs"/>
          <w:rtl/>
        </w:rPr>
        <w:t>בדרכים שונות ב</w:t>
      </w:r>
      <w:r>
        <w:rPr>
          <w:rtl/>
        </w:rPr>
        <w:t>טרם קיום הפגישה לצורך הכנה, ולא מצאתי שיש מקום להתערב בקביעה זו. כבר מצינו שנציגת המשיבה פנתה למערער עוד בחודש יולי 2022 וביום 3.8.22 הסבירה כי חשוב להכירו ולשמוע את עמדתו בנוגע לילדיו וביקשה לקיים ישיבת הכנה. המערער לא שיתף פעולה לא יצר קשר ומשלא נכח בישיבת הכנה ולא ידע על כך. המחדל רובץ, אפוא</w:t>
      </w:r>
      <w:r w:rsidR="007305BF">
        <w:rPr>
          <w:rFonts w:hint="cs"/>
          <w:rtl/>
        </w:rPr>
        <w:t>,</w:t>
      </w:r>
      <w:r>
        <w:rPr>
          <w:rtl/>
        </w:rPr>
        <w:t xml:space="preserve"> לפתחו של המערער</w:t>
      </w:r>
      <w:r w:rsidR="00653223">
        <w:rPr>
          <w:rFonts w:hint="cs"/>
          <w:rtl/>
        </w:rPr>
        <w:t xml:space="preserve"> ואין בידו להיתלות בו</w:t>
      </w:r>
      <w:r>
        <w:rPr>
          <w:rtl/>
        </w:rPr>
        <w:t>.</w:t>
      </w:r>
    </w:p>
    <w:p w:rsidR="00F61E2D" w:rsidRDefault="00F61E2D" w:rsidP="00212010">
      <w:pPr>
        <w:spacing w:line="360" w:lineRule="auto"/>
        <w:ind w:left="-58"/>
        <w:rPr>
          <w:rtl/>
        </w:rPr>
      </w:pPr>
    </w:p>
    <w:p w:rsidR="00F61E2D" w:rsidRDefault="00F61E2D" w:rsidP="00925134">
      <w:pPr>
        <w:pStyle w:val="ad"/>
        <w:numPr>
          <w:ilvl w:val="0"/>
          <w:numId w:val="2"/>
        </w:numPr>
        <w:spacing w:after="0"/>
        <w:ind w:left="509" w:right="0" w:hanging="567"/>
      </w:pPr>
      <w:r>
        <w:rPr>
          <w:rtl/>
        </w:rPr>
        <w:t>עוד א</w:t>
      </w:r>
      <w:r>
        <w:rPr>
          <w:rFonts w:hint="cs"/>
          <w:rtl/>
        </w:rPr>
        <w:t xml:space="preserve">זכיר </w:t>
      </w:r>
      <w:r>
        <w:rPr>
          <w:rtl/>
        </w:rPr>
        <w:t xml:space="preserve">כי בסופו של דבר, </w:t>
      </w:r>
      <w:r w:rsidR="00212010">
        <w:rPr>
          <w:rFonts w:hint="cs"/>
          <w:rtl/>
        </w:rPr>
        <w:t xml:space="preserve">בשל פניית המערער הנ"ל, נדחתה ישיבתה של </w:t>
      </w:r>
      <w:r w:rsidR="00212010">
        <w:rPr>
          <w:rtl/>
        </w:rPr>
        <w:t>ועדת תכנון טיפול</w:t>
      </w:r>
      <w:r w:rsidR="00212010">
        <w:rPr>
          <w:rFonts w:hint="cs"/>
          <w:rtl/>
        </w:rPr>
        <w:t xml:space="preserve"> שתוכננה ליום 17.8.22 ו</w:t>
      </w:r>
      <w:r>
        <w:rPr>
          <w:rtl/>
        </w:rPr>
        <w:t>התקיימה ביום 7.9.22</w:t>
      </w:r>
      <w:r w:rsidR="00212010">
        <w:rPr>
          <w:rFonts w:hint="cs"/>
          <w:rtl/>
        </w:rPr>
        <w:t>,</w:t>
      </w:r>
      <w:r>
        <w:rPr>
          <w:rtl/>
        </w:rPr>
        <w:t xml:space="preserve"> ו</w:t>
      </w:r>
      <w:r>
        <w:rPr>
          <w:rFonts w:hint="cs"/>
          <w:rtl/>
        </w:rPr>
        <w:t xml:space="preserve">גם מטעם זה </w:t>
      </w:r>
      <w:r>
        <w:rPr>
          <w:rtl/>
        </w:rPr>
        <w:t xml:space="preserve">קשה לקבל כי למערער לא היה זמן מספיק לצורך </w:t>
      </w:r>
      <w:r w:rsidR="00653223">
        <w:rPr>
          <w:rFonts w:hint="cs"/>
          <w:rtl/>
        </w:rPr>
        <w:t>הכנת</w:t>
      </w:r>
      <w:r w:rsidR="00925134">
        <w:rPr>
          <w:rFonts w:hint="cs"/>
          <w:rtl/>
        </w:rPr>
        <w:t xml:space="preserve"> </w:t>
      </w:r>
      <w:r w:rsidR="00653223">
        <w:rPr>
          <w:rFonts w:hint="cs"/>
          <w:rtl/>
        </w:rPr>
        <w:t xml:space="preserve">תכנית </w:t>
      </w:r>
      <w:r w:rsidR="00925134">
        <w:rPr>
          <w:rFonts w:hint="cs"/>
          <w:rtl/>
        </w:rPr>
        <w:t xml:space="preserve">אלטרנטיבית או לצורך </w:t>
      </w:r>
      <w:r>
        <w:rPr>
          <w:rtl/>
        </w:rPr>
        <w:t>קיום ישיבת הכנה אילו חפץ בכך.</w:t>
      </w:r>
      <w:r>
        <w:rPr>
          <w:rFonts w:hint="cs"/>
          <w:rtl/>
        </w:rPr>
        <w:t xml:space="preserve"> </w:t>
      </w:r>
      <w:r>
        <w:rPr>
          <w:rtl/>
        </w:rPr>
        <w:t>ונדמה</w:t>
      </w:r>
      <w:r>
        <w:rPr>
          <w:rFonts w:hint="cs"/>
          <w:rtl/>
        </w:rPr>
        <w:t>, כאמור,</w:t>
      </w:r>
      <w:r>
        <w:rPr>
          <w:rtl/>
        </w:rPr>
        <w:t xml:space="preserve"> כי </w:t>
      </w:r>
      <w:r>
        <w:rPr>
          <w:rFonts w:hint="cs"/>
          <w:rtl/>
        </w:rPr>
        <w:t>קשה שלא ל</w:t>
      </w:r>
      <w:r>
        <w:rPr>
          <w:rtl/>
        </w:rPr>
        <w:t xml:space="preserve">התרשם שהמערער לא חפץ בכך (ראו למשל נוסח הדברים בסעיף 3.3 לערעור כמו גם שורות האמירות הנוספות שנזכרה בסעיף </w:t>
      </w:r>
      <w:r>
        <w:rPr>
          <w:rFonts w:hint="cs"/>
          <w:rtl/>
        </w:rPr>
        <w:t>40</w:t>
      </w:r>
      <w:r>
        <w:rPr>
          <w:rtl/>
        </w:rPr>
        <w:t xml:space="preserve"> לעיל). </w:t>
      </w:r>
      <w:r>
        <w:rPr>
          <w:rFonts w:hint="cs"/>
          <w:rtl/>
        </w:rPr>
        <w:t>עוד אחזור ו</w:t>
      </w:r>
      <w:r>
        <w:rPr>
          <w:rtl/>
        </w:rPr>
        <w:t xml:space="preserve">אציין כי המערער לא מפרט דבר ביחס לתוכן החלטת ועדת תכנון טיפול </w:t>
      </w:r>
      <w:r>
        <w:rPr>
          <w:rFonts w:hint="cs"/>
          <w:rtl/>
        </w:rPr>
        <w:t>ולא ניתן להבין מהו אותו חלק</w:t>
      </w:r>
      <w:r>
        <w:rPr>
          <w:rtl/>
        </w:rPr>
        <w:t xml:space="preserve"> של החלט</w:t>
      </w:r>
      <w:r>
        <w:rPr>
          <w:rFonts w:hint="cs"/>
          <w:rtl/>
        </w:rPr>
        <w:t xml:space="preserve">ת ועדת תכנון טיפול </w:t>
      </w:r>
      <w:r>
        <w:rPr>
          <w:rtl/>
        </w:rPr>
        <w:t>שאינו מסכים</w:t>
      </w:r>
      <w:r>
        <w:rPr>
          <w:rFonts w:hint="cs"/>
          <w:rtl/>
        </w:rPr>
        <w:t xml:space="preserve"> לו (</w:t>
      </w:r>
      <w:r>
        <w:rPr>
          <w:rtl/>
        </w:rPr>
        <w:t xml:space="preserve">לא ניתן להבין </w:t>
      </w:r>
      <w:r w:rsidR="00212010">
        <w:rPr>
          <w:rFonts w:hint="cs"/>
          <w:rtl/>
        </w:rPr>
        <w:t xml:space="preserve">זאת </w:t>
      </w:r>
      <w:r>
        <w:rPr>
          <w:rtl/>
        </w:rPr>
        <w:t>גם מעיון בפרוטוקול ועדת הערר</w:t>
      </w:r>
      <w:r>
        <w:rPr>
          <w:rFonts w:hint="cs"/>
          <w:rtl/>
        </w:rPr>
        <w:t>).</w:t>
      </w:r>
      <w:r>
        <w:rPr>
          <w:rtl/>
        </w:rPr>
        <w:t xml:space="preserve"> </w:t>
      </w:r>
      <w:r>
        <w:rPr>
          <w:rFonts w:hint="cs"/>
          <w:rtl/>
        </w:rPr>
        <w:t xml:space="preserve">בנוסף, הטיעון בעניין זה רצוף בעיקר טענות טכניות (כגון שלגרושתו ניתנו יותר דקות לדבר בוועדה לתכנון טיפול או שהזימון לא היה בדואר רשום) ואין בטענותיו ביחס להתנהלות הוועדה והחלטתה, כדי לבסס במכלול הנסיבות כל פגם שיצדיק ביטול ההחלטה. </w:t>
      </w:r>
    </w:p>
    <w:p w:rsidR="007305BF" w:rsidRDefault="007305BF" w:rsidP="00681B2C">
      <w:pPr>
        <w:spacing w:line="360" w:lineRule="auto"/>
        <w:ind w:left="-58"/>
        <w:rPr>
          <w:rtl/>
        </w:rPr>
      </w:pPr>
    </w:p>
    <w:p w:rsidR="00A718B3" w:rsidRDefault="00681B2C" w:rsidP="00925134">
      <w:pPr>
        <w:pStyle w:val="ad"/>
        <w:numPr>
          <w:ilvl w:val="0"/>
          <w:numId w:val="2"/>
        </w:numPr>
        <w:spacing w:after="0"/>
        <w:ind w:left="509" w:right="0" w:hanging="567"/>
      </w:pPr>
      <w:r>
        <w:rPr>
          <w:rFonts w:hint="cs"/>
          <w:rtl/>
        </w:rPr>
        <w:t>אני דוחה גם את הטענה כי החלטת הועד</w:t>
      </w:r>
      <w:r w:rsidR="00F61E2D">
        <w:rPr>
          <w:rFonts w:hint="cs"/>
          <w:rtl/>
        </w:rPr>
        <w:t>ת הערר</w:t>
      </w:r>
      <w:r>
        <w:rPr>
          <w:rFonts w:hint="cs"/>
          <w:rtl/>
        </w:rPr>
        <w:t xml:space="preserve"> אינה מנומקת דיה או כי לא התייחסה לכל טענותיו</w:t>
      </w:r>
      <w:r w:rsidR="00F61E2D">
        <w:rPr>
          <w:rFonts w:hint="cs"/>
          <w:rtl/>
        </w:rPr>
        <w:t xml:space="preserve"> באופן המצדיק את </w:t>
      </w:r>
      <w:r w:rsidR="0096165C">
        <w:rPr>
          <w:rFonts w:hint="cs"/>
          <w:rtl/>
        </w:rPr>
        <w:t>קבלת הערעור ו</w:t>
      </w:r>
      <w:r w:rsidR="00F61E2D">
        <w:rPr>
          <w:rFonts w:hint="cs"/>
          <w:rtl/>
        </w:rPr>
        <w:t>ביטול החלטתה</w:t>
      </w:r>
      <w:r>
        <w:rPr>
          <w:rFonts w:hint="cs"/>
          <w:rtl/>
        </w:rPr>
        <w:t>. אין מקום לחייב את ועדת הערר להתייחס לכל פרט ופרט ולכל טענה שהעלה העורר</w:t>
      </w:r>
      <w:r w:rsidR="00925134">
        <w:rPr>
          <w:rFonts w:hint="cs"/>
          <w:rtl/>
        </w:rPr>
        <w:t>. אזכיר גם כאן כי מדובר בוועדה מקצועית שאינה כבולה בסדרי הדין</w:t>
      </w:r>
      <w:r>
        <w:rPr>
          <w:rFonts w:hint="cs"/>
          <w:rtl/>
        </w:rPr>
        <w:t xml:space="preserve">. </w:t>
      </w:r>
      <w:r w:rsidR="00925134">
        <w:rPr>
          <w:rFonts w:hint="cs"/>
          <w:rtl/>
        </w:rPr>
        <w:t xml:space="preserve">מכל מקום, </w:t>
      </w:r>
      <w:r>
        <w:rPr>
          <w:rFonts w:hint="cs"/>
          <w:rtl/>
        </w:rPr>
        <w:t xml:space="preserve">די בהתייחסות לטענות העיקריות כפי </w:t>
      </w:r>
      <w:r w:rsidR="00A718B3">
        <w:rPr>
          <w:rFonts w:hint="cs"/>
          <w:rtl/>
        </w:rPr>
        <w:t>שעשתה ועדת הערר</w:t>
      </w:r>
      <w:r>
        <w:rPr>
          <w:rFonts w:hint="cs"/>
          <w:rtl/>
        </w:rPr>
        <w:t xml:space="preserve">, על אחת כמה וכמה בוודאי באופן שבו פעל המערער. כפי </w:t>
      </w:r>
      <w:r>
        <w:rPr>
          <w:rtl/>
        </w:rPr>
        <w:t xml:space="preserve">שציינה </w:t>
      </w:r>
      <w:r w:rsidR="00F61E2D">
        <w:rPr>
          <w:rFonts w:hint="cs"/>
          <w:rtl/>
        </w:rPr>
        <w:t xml:space="preserve">ועדת הערר </w:t>
      </w:r>
      <w:r>
        <w:rPr>
          <w:rtl/>
        </w:rPr>
        <w:t>בפתח החלטתה "</w:t>
      </w:r>
      <w:r>
        <w:rPr>
          <w:b/>
          <w:bCs/>
          <w:rtl/>
        </w:rPr>
        <w:t xml:space="preserve">שמענו את טענות העורר אשר התפרסו על מגוון רב של נושאים, החל מזהות חברי </w:t>
      </w:r>
      <w:r>
        <w:rPr>
          <w:b/>
          <w:bCs/>
          <w:rtl/>
        </w:rPr>
        <w:lastRenderedPageBreak/>
        <w:t>הוועדה, המשך כנגד עובדי הרווחה. העורר המשיך בטיעוניו מעבר למה שכתוב בערר והיה מאוד קשה להתמקד בנושא לשמו הוגש הערר"</w:t>
      </w:r>
      <w:r w:rsidRPr="00681B2C">
        <w:rPr>
          <w:rFonts w:hint="cs"/>
          <w:rtl/>
        </w:rPr>
        <w:t>.</w:t>
      </w:r>
      <w:r w:rsidRPr="00681B2C">
        <w:rPr>
          <w:rtl/>
        </w:rPr>
        <w:t xml:space="preserve"> </w:t>
      </w:r>
    </w:p>
    <w:p w:rsidR="00A718B3" w:rsidRDefault="00A718B3" w:rsidP="00A718B3">
      <w:pPr>
        <w:pStyle w:val="ad"/>
        <w:rPr>
          <w:rtl/>
        </w:rPr>
      </w:pPr>
    </w:p>
    <w:p w:rsidR="00A718B3" w:rsidRDefault="00A718B3" w:rsidP="00AD627D">
      <w:pPr>
        <w:pStyle w:val="ad"/>
        <w:numPr>
          <w:ilvl w:val="0"/>
          <w:numId w:val="2"/>
        </w:numPr>
        <w:spacing w:after="0"/>
        <w:ind w:left="509" w:right="0" w:hanging="567"/>
        <w:rPr>
          <w:rtl/>
        </w:rPr>
      </w:pPr>
      <w:r>
        <w:rPr>
          <w:rFonts w:hint="cs"/>
          <w:rtl/>
        </w:rPr>
        <w:t xml:space="preserve">לבסוף אציין </w:t>
      </w:r>
      <w:r w:rsidR="00681B2C">
        <w:rPr>
          <w:rtl/>
        </w:rPr>
        <w:t>כי כידוע, היקף הביקורת השיפוטית של בית המשפט שלערעור על החלטת ועדת הערר הינו מצומצם</w:t>
      </w:r>
      <w:r>
        <w:rPr>
          <w:rFonts w:hint="cs"/>
          <w:rtl/>
        </w:rPr>
        <w:t>,</w:t>
      </w:r>
      <w:r w:rsidR="00681B2C">
        <w:rPr>
          <w:rtl/>
        </w:rPr>
        <w:t xml:space="preserve"> בוודאי משמדובר ב</w:t>
      </w:r>
      <w:r w:rsidR="00681B2C">
        <w:rPr>
          <w:rFonts w:hint="cs"/>
          <w:rtl/>
        </w:rPr>
        <w:t xml:space="preserve">החלטות מקצועיות </w:t>
      </w:r>
      <w:r w:rsidR="00681B2C">
        <w:rPr>
          <w:rtl/>
        </w:rPr>
        <w:t>ובנושאים שבתחום המומחיות</w:t>
      </w:r>
      <w:r w:rsidR="00681B2C">
        <w:rPr>
          <w:rFonts w:hint="cs"/>
          <w:rtl/>
        </w:rPr>
        <w:t xml:space="preserve"> (כפי שגם ציין בית המשפט העליון בפסקי הדין הנ"ל)</w:t>
      </w:r>
      <w:r w:rsidR="00681B2C">
        <w:rPr>
          <w:rtl/>
        </w:rPr>
        <w:t>. כאמור, לא עלה בידי המערער להצביע על פגם שנפל בהחלטה ואשר מצדיק התערבות ערכאת הערעור בה.</w:t>
      </w:r>
    </w:p>
    <w:p w:rsidR="00A718B3" w:rsidRDefault="00A718B3" w:rsidP="00A718B3">
      <w:pPr>
        <w:spacing w:line="360" w:lineRule="auto"/>
        <w:ind w:left="-58"/>
      </w:pPr>
    </w:p>
    <w:p w:rsidR="002939D4" w:rsidRDefault="002939D4" w:rsidP="00925134">
      <w:pPr>
        <w:pStyle w:val="ad"/>
        <w:numPr>
          <w:ilvl w:val="0"/>
          <w:numId w:val="2"/>
        </w:numPr>
        <w:spacing w:after="0"/>
        <w:ind w:left="509" w:right="0" w:hanging="567"/>
        <w:rPr>
          <w:rtl/>
        </w:rPr>
      </w:pPr>
      <w:r>
        <w:rPr>
          <w:rtl/>
        </w:rPr>
        <w:t xml:space="preserve">לא מצאתי ממש גם ביתר טענות המערער בערעור (גם אם לא נזכרו במפורש) ואין הן מצדיקות התערבות בית משפט זה בהחלטת ועדת הערר. </w:t>
      </w:r>
      <w:r w:rsidR="00D56726">
        <w:rPr>
          <w:rFonts w:hint="cs"/>
          <w:rtl/>
        </w:rPr>
        <w:t xml:space="preserve">על מנת לסבר את האוזן </w:t>
      </w:r>
      <w:r>
        <w:rPr>
          <w:rtl/>
        </w:rPr>
        <w:t>אזכיר כאן חלק מהטענות. כך, המערער טען כי התנהלותה של המשיבה נגועה באפליה פסולה בין שווים כמפורט ס"ק 2(ה) למכתבו (עמ</w:t>
      </w:r>
      <w:r w:rsidR="00925134">
        <w:rPr>
          <w:rFonts w:hint="cs"/>
          <w:rtl/>
        </w:rPr>
        <w:t>וד</w:t>
      </w:r>
      <w:r>
        <w:rPr>
          <w:rtl/>
        </w:rPr>
        <w:t xml:space="preserve"> 33 לערעור), אך לא נימק </w:t>
      </w:r>
      <w:r w:rsidR="0096165C">
        <w:rPr>
          <w:rFonts w:hint="cs"/>
          <w:rtl/>
        </w:rPr>
        <w:t xml:space="preserve">ולא הניח תשתית שיש </w:t>
      </w:r>
      <w:r>
        <w:rPr>
          <w:rtl/>
        </w:rPr>
        <w:t xml:space="preserve">בה כדי לתמוך בטענתו. המערער טען כי הישיבה צולמה והוקלטה, אך </w:t>
      </w:r>
      <w:r w:rsidR="0096165C">
        <w:rPr>
          <w:rFonts w:hint="cs"/>
          <w:rtl/>
        </w:rPr>
        <w:t xml:space="preserve">גם בעניין זה לא הניח </w:t>
      </w:r>
      <w:r w:rsidR="00D56726">
        <w:rPr>
          <w:rFonts w:hint="cs"/>
          <w:rtl/>
        </w:rPr>
        <w:t>תשתית לתמיכה בה</w:t>
      </w:r>
      <w:r>
        <w:rPr>
          <w:rtl/>
        </w:rPr>
        <w:t xml:space="preserve">, בעוד המשיבה עומדת על כך כי הישיבה לא צולמה ולא הוקלטה, והבהירה כי משתתפי הוועדה חותמים בתחילת הישיבה על טופס המחייב אותם לשמור על פרטיות המשפחה ולהימנע מצילום או הקלטה (וראו גם סעיף 19.1 להוראה 8.9 המסדירה את פעילות הוועדה לפיה ככלל לא יוקלטו ויצולמו הדיונים ובמקרה חריג יתאפשר הדבר באישור היו"ר). </w:t>
      </w:r>
    </w:p>
    <w:p w:rsidR="002939D4" w:rsidRDefault="002939D4" w:rsidP="00A718B3">
      <w:pPr>
        <w:spacing w:line="360" w:lineRule="auto"/>
        <w:ind w:left="-58"/>
        <w:rPr>
          <w:rtl/>
        </w:rPr>
      </w:pPr>
    </w:p>
    <w:p w:rsidR="002939D4" w:rsidRDefault="002939D4" w:rsidP="0096165C">
      <w:pPr>
        <w:pStyle w:val="ad"/>
        <w:numPr>
          <w:ilvl w:val="0"/>
          <w:numId w:val="2"/>
        </w:numPr>
        <w:spacing w:after="0"/>
        <w:ind w:left="509" w:right="0" w:hanging="567"/>
        <w:rPr>
          <w:rtl/>
        </w:rPr>
      </w:pPr>
      <w:r w:rsidRPr="0096165C">
        <w:rPr>
          <w:b/>
          <w:bCs/>
          <w:rtl/>
        </w:rPr>
        <w:t>אשר לבקשת המערער כי בית המשפט יורה על המצאת מסמכים</w:t>
      </w:r>
      <w:r>
        <w:rPr>
          <w:rtl/>
        </w:rPr>
        <w:t xml:space="preserve"> - כעולה מתשובת המשיבה</w:t>
      </w:r>
      <w:r w:rsidR="00D56726">
        <w:rPr>
          <w:rFonts w:hint="cs"/>
          <w:rtl/>
        </w:rPr>
        <w:t>,</w:t>
      </w:r>
      <w:r>
        <w:rPr>
          <w:rtl/>
        </w:rPr>
        <w:t xml:space="preserve"> המערער קיבל מסמכים רבים במסגרת בקשה שהגיש לפי חוק חופש המידע. כפי שהובהר בתשובה, הועברו לו מסמכים המצויים אצל המשיבה שאותם </w:t>
      </w:r>
      <w:r w:rsidR="00D56726">
        <w:rPr>
          <w:rFonts w:hint="cs"/>
          <w:rtl/>
        </w:rPr>
        <w:t xml:space="preserve">היה </w:t>
      </w:r>
      <w:r>
        <w:rPr>
          <w:rtl/>
        </w:rPr>
        <w:t xml:space="preserve">בידה למסור </w:t>
      </w:r>
      <w:r w:rsidR="00D56726">
        <w:rPr>
          <w:rFonts w:hint="cs"/>
          <w:rtl/>
        </w:rPr>
        <w:t>לו לפי ה</w:t>
      </w:r>
      <w:r>
        <w:rPr>
          <w:rtl/>
        </w:rPr>
        <w:t xml:space="preserve">דין. לא הועברו מסמכים הקשורים לגרושתו או מסמכים שנוצרו על ידי רשות מקומית אחרת כמו גם מסמכים פנימיים ותרשומות עו"ס (מכתב התשובה המפורט </w:t>
      </w:r>
      <w:r w:rsidR="0096165C">
        <w:rPr>
          <w:rFonts w:hint="cs"/>
          <w:rtl/>
        </w:rPr>
        <w:t xml:space="preserve">של ממונה לפי חוק חופש המידע </w:t>
      </w:r>
      <w:r>
        <w:rPr>
          <w:rtl/>
        </w:rPr>
        <w:t>לפני</w:t>
      </w:r>
      <w:r w:rsidR="00D56726">
        <w:rPr>
          <w:rFonts w:hint="cs"/>
          <w:rtl/>
        </w:rPr>
        <w:t>ית המערער</w:t>
      </w:r>
      <w:r>
        <w:rPr>
          <w:rtl/>
        </w:rPr>
        <w:t xml:space="preserve"> לפי חוק </w:t>
      </w:r>
      <w:r w:rsidR="0096165C">
        <w:rPr>
          <w:rFonts w:hint="cs"/>
          <w:rtl/>
        </w:rPr>
        <w:t>זה</w:t>
      </w:r>
      <w:r>
        <w:rPr>
          <w:rtl/>
        </w:rPr>
        <w:t xml:space="preserve"> צורף נספח 4 לכתב התשובה). המערער מבקש להסתמך על הוראת סעיף 30 (א) לחוק בתי דין מינהליים שקובע "מי שזכאי להגיש ערר על החלטתה של רשות מינהלית, זכאי לעיין במסמכים שבידי הרשות הנוגעים להחלטה (להלן - התיק), ולהעתיק מסמכים מתיק זה". אלא שזכות זו מסויגת כקבוע בסעי</w:t>
      </w:r>
      <w:r w:rsidR="00D56726">
        <w:rPr>
          <w:rFonts w:hint="cs"/>
          <w:rtl/>
        </w:rPr>
        <w:t xml:space="preserve">ף </w:t>
      </w:r>
      <w:r>
        <w:rPr>
          <w:rtl/>
        </w:rPr>
        <w:t xml:space="preserve">30(ב) לחוק הנ"ל ומכל מקום, על החלטת הממונה </w:t>
      </w:r>
      <w:r w:rsidR="0096165C">
        <w:rPr>
          <w:rFonts w:hint="cs"/>
          <w:rtl/>
        </w:rPr>
        <w:t xml:space="preserve">לפי </w:t>
      </w:r>
      <w:r>
        <w:rPr>
          <w:rtl/>
        </w:rPr>
        <w:t>חוק חופש המידע ניתן ל</w:t>
      </w:r>
      <w:r w:rsidR="004C72AA">
        <w:rPr>
          <w:rFonts w:hint="cs"/>
          <w:rtl/>
        </w:rPr>
        <w:t>השיג ב</w:t>
      </w:r>
      <w:r>
        <w:rPr>
          <w:rtl/>
        </w:rPr>
        <w:t>עתירה מנהלית ולא במסגרת הערעור שבנדון.</w:t>
      </w:r>
    </w:p>
    <w:p w:rsidR="002939D4" w:rsidRDefault="002939D4" w:rsidP="0096165C">
      <w:pPr>
        <w:spacing w:line="360" w:lineRule="auto"/>
        <w:ind w:left="-58"/>
        <w:rPr>
          <w:rtl/>
        </w:rPr>
      </w:pPr>
    </w:p>
    <w:p w:rsidR="002939D4" w:rsidRDefault="002939D4" w:rsidP="002939D4">
      <w:pPr>
        <w:ind w:left="-58"/>
        <w:rPr>
          <w:b/>
          <w:bCs/>
          <w:u w:val="single"/>
          <w:rtl/>
        </w:rPr>
      </w:pPr>
      <w:r>
        <w:rPr>
          <w:b/>
          <w:bCs/>
          <w:u w:val="single"/>
          <w:rtl/>
        </w:rPr>
        <w:t>סוף דבר</w:t>
      </w:r>
    </w:p>
    <w:p w:rsidR="002939D4" w:rsidRDefault="002939D4" w:rsidP="002939D4">
      <w:pPr>
        <w:ind w:left="-58"/>
        <w:rPr>
          <w:b/>
          <w:bCs/>
          <w:u w:val="single"/>
          <w:rtl/>
        </w:rPr>
      </w:pPr>
    </w:p>
    <w:p w:rsidR="002939D4" w:rsidRDefault="002939D4" w:rsidP="0096165C">
      <w:pPr>
        <w:pStyle w:val="ad"/>
        <w:numPr>
          <w:ilvl w:val="0"/>
          <w:numId w:val="2"/>
        </w:numPr>
        <w:spacing w:after="0"/>
        <w:ind w:left="509" w:right="0" w:hanging="567"/>
      </w:pPr>
      <w:r>
        <w:rPr>
          <w:rtl/>
        </w:rPr>
        <w:t xml:space="preserve">מהטעמים דלעיל, הערעור נדחה. במכלול נסיבות העניין, בשים לב לעניינו הרגיש של הערעור ולכך שלא התקיים דיון ומצד שני, לכך שהמשיבה נאלצה להגיש תשובה </w:t>
      </w:r>
      <w:r w:rsidR="00D56726">
        <w:rPr>
          <w:rFonts w:hint="cs"/>
          <w:rtl/>
        </w:rPr>
        <w:t xml:space="preserve">ובשים לב לאופן </w:t>
      </w:r>
      <w:r w:rsidR="0096165C">
        <w:rPr>
          <w:rFonts w:hint="cs"/>
          <w:rtl/>
        </w:rPr>
        <w:lastRenderedPageBreak/>
        <w:t>עריכתו של הערעור</w:t>
      </w:r>
      <w:r w:rsidR="00D56726">
        <w:rPr>
          <w:rFonts w:hint="cs"/>
          <w:rtl/>
        </w:rPr>
        <w:t xml:space="preserve"> ו</w:t>
      </w:r>
      <w:r>
        <w:rPr>
          <w:rtl/>
        </w:rPr>
        <w:t>לקלישות טענות המערער ו</w:t>
      </w:r>
      <w:r w:rsidR="00925134">
        <w:rPr>
          <w:rFonts w:hint="cs"/>
          <w:rtl/>
        </w:rPr>
        <w:t>אף ל</w:t>
      </w:r>
      <w:r>
        <w:rPr>
          <w:rtl/>
        </w:rPr>
        <w:t xml:space="preserve">ריבוי ההליכים באותו עניין כמפורט לעיל, ישלם למשיבה הוצאות </w:t>
      </w:r>
      <w:r w:rsidR="00D56726">
        <w:rPr>
          <w:rFonts w:hint="cs"/>
          <w:rtl/>
        </w:rPr>
        <w:t xml:space="preserve">ההליך </w:t>
      </w:r>
      <w:r>
        <w:rPr>
          <w:rtl/>
        </w:rPr>
        <w:t>בס</w:t>
      </w:r>
      <w:r w:rsidR="00D56726">
        <w:rPr>
          <w:rFonts w:hint="cs"/>
          <w:rtl/>
        </w:rPr>
        <w:t xml:space="preserve">ך </w:t>
      </w:r>
      <w:r>
        <w:rPr>
          <w:rtl/>
        </w:rPr>
        <w:t>של 10,000 ש"ח.</w:t>
      </w:r>
    </w:p>
    <w:p w:rsidR="00D56726" w:rsidRDefault="00D56726" w:rsidP="00D56726">
      <w:pPr>
        <w:rPr>
          <w:rtl/>
        </w:rPr>
      </w:pPr>
    </w:p>
    <w:p w:rsidR="00D56726" w:rsidRDefault="00D56726" w:rsidP="00D56726">
      <w:pPr>
        <w:rPr>
          <w:rtl/>
        </w:rPr>
      </w:pPr>
    </w:p>
    <w:p w:rsidR="002939D4" w:rsidRDefault="002939D4" w:rsidP="002939D4">
      <w:r>
        <w:rPr>
          <w:rtl/>
        </w:rPr>
        <w:t xml:space="preserve"> </w:t>
      </w:r>
    </w:p>
    <w:p w:rsidR="00694556" w:rsidRPr="002939D4" w:rsidRDefault="002939D4" w:rsidP="00D56726">
      <w:pPr>
        <w:spacing w:line="360" w:lineRule="auto"/>
        <w:jc w:val="both"/>
        <w:rPr>
          <w:rFonts w:ascii="Arial" w:hAnsi="Arial"/>
          <w:b/>
          <w:bCs/>
          <w:noProof w:val="0"/>
          <w:rtl/>
        </w:rPr>
      </w:pPr>
      <w:r w:rsidRPr="002939D4">
        <w:rPr>
          <w:rFonts w:ascii="Arial" w:hAnsi="Arial" w:hint="cs"/>
          <w:b/>
          <w:bCs/>
          <w:noProof w:val="0"/>
          <w:rtl/>
        </w:rPr>
        <w:t>פסק הדין ניתן לפרסום כפי שהוא (הוסרו פרטים מזהים)</w:t>
      </w:r>
    </w:p>
    <w:p w:rsidR="002939D4" w:rsidRDefault="002939D4" w:rsidP="00D56726">
      <w:pPr>
        <w:spacing w:line="360" w:lineRule="auto"/>
        <w:jc w:val="both"/>
        <w:rPr>
          <w:rFonts w:ascii="Arial" w:hAnsi="Arial"/>
          <w:b/>
          <w:bCs/>
          <w:noProof w:val="0"/>
          <w:u w:val="single"/>
          <w:rtl/>
        </w:rPr>
      </w:pPr>
      <w:r w:rsidRPr="002939D4">
        <w:rPr>
          <w:rFonts w:ascii="Arial" w:hAnsi="Arial" w:hint="cs"/>
          <w:b/>
          <w:bCs/>
          <w:noProof w:val="0"/>
          <w:u w:val="single"/>
          <w:rtl/>
        </w:rPr>
        <w:t>המזכירות תדוור לצדדים.</w:t>
      </w:r>
    </w:p>
    <w:p w:rsidR="00D56726" w:rsidRPr="002939D4" w:rsidRDefault="00D56726" w:rsidP="00D56726">
      <w:pPr>
        <w:spacing w:line="360" w:lineRule="auto"/>
        <w:jc w:val="both"/>
        <w:rPr>
          <w:rFonts w:ascii="Arial" w:hAnsi="Arial"/>
          <w:b/>
          <w:bCs/>
          <w:noProof w:val="0"/>
          <w:u w:val="single"/>
          <w:rtl/>
        </w:rPr>
      </w:pPr>
    </w:p>
    <w:p w:rsidR="005B0F49" w:rsidRDefault="00005C8B" w:rsidP="00D56726">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כ"ח אדר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21 מרץ 2023</w:t>
          </w:r>
        </w:sdtContent>
      </w:sdt>
      <w:r>
        <w:rPr>
          <w:rFonts w:ascii="Arial" w:hAnsi="Arial"/>
          <w:noProof w:val="0"/>
          <w:rtl/>
        </w:rPr>
        <w:t>, בהעדר הצדדים.</w:t>
      </w:r>
      <w:r w:rsidR="005B0F49">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sidR="005B0F49">
        <w:rPr>
          <w:rFonts w:ascii="Arial" w:hAnsi="Arial" w:hint="cs"/>
          <w:noProof w:val="0"/>
          <w:rtl/>
        </w:rPr>
        <w:tab/>
      </w:r>
      <w:r w:rsidR="005B0F49">
        <w:rPr>
          <w:rFonts w:ascii="Arial" w:hAnsi="Arial" w:hint="cs"/>
          <w:noProof w:val="0"/>
          <w:rtl/>
        </w:rPr>
        <w:tab/>
      </w:r>
      <w:r w:rsidR="00633C4F">
        <w:rPr>
          <w:rFonts w:ascii="Arial" w:hAnsi="Arial"/>
          <w:noProof w:val="0"/>
          <w:rtl/>
        </w:rPr>
        <w:t xml:space="preserve"> </w:t>
      </w:r>
    </w:p>
    <w:p w:rsidR="00694556" w:rsidRDefault="00C20E2E" w:rsidP="00633C4F">
      <w:pPr>
        <w:spacing w:line="360" w:lineRule="auto"/>
        <w:ind w:left="3600" w:firstLine="720"/>
        <w:jc w:val="right"/>
      </w:pPr>
      <w:sdt>
        <w:sdtPr>
          <w:rPr>
            <w:rtl/>
          </w:rPr>
          <w:alias w:val="MergeField"/>
          <w:tag w:val="1237"/>
          <w:id w:val="-605429350"/>
        </w:sdtPr>
        <w:sdtEndPr/>
        <w:sdtContent>
          <w:r w:rsidR="0014204D">
            <w:drawing>
              <wp:inline distT="0" distB="0" distL="0" distR="0" wp14:editId="50D07946">
                <wp:extent cx="1028700"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028700" cy="8286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2939D4">
      <w:headerReference w:type="default" r:id="rId9"/>
      <w:footerReference w:type="default" r:id="rId10"/>
      <w:pgSz w:w="11907" w:h="16840" w:code="9"/>
      <w:pgMar w:top="1440" w:right="1800" w:bottom="1440" w:left="1800"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0E2E" w:rsidRDefault="00C20E2E">
      <w:r>
        <w:separator/>
      </w:r>
    </w:p>
  </w:endnote>
  <w:endnote w:type="continuationSeparator" w:id="0">
    <w:p w:rsidR="00C20E2E" w:rsidRDefault="00C20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2939D4" w:rsidRDefault="002352F7">
    <w:pPr>
      <w:pStyle w:val="a4"/>
      <w:jc w:val="center"/>
      <w:rPr>
        <w:rStyle w:val="ab"/>
        <w:rFonts w:ascii="David" w:hAnsi="David"/>
        <w:sz w:val="22"/>
        <w:szCs w:val="22"/>
      </w:rPr>
    </w:pPr>
    <w:r w:rsidRPr="002939D4">
      <w:rPr>
        <w:rStyle w:val="ab"/>
        <w:rFonts w:ascii="David" w:hAnsi="David"/>
        <w:sz w:val="22"/>
        <w:szCs w:val="22"/>
      </w:rPr>
      <w:fldChar w:fldCharType="begin"/>
    </w:r>
    <w:r w:rsidR="00005C8B" w:rsidRPr="002939D4">
      <w:rPr>
        <w:rStyle w:val="ab"/>
        <w:rFonts w:ascii="David" w:hAnsi="David"/>
        <w:sz w:val="22"/>
        <w:szCs w:val="22"/>
      </w:rPr>
      <w:instrText xml:space="preserve"> PAGE </w:instrText>
    </w:r>
    <w:r w:rsidRPr="002939D4">
      <w:rPr>
        <w:rStyle w:val="ab"/>
        <w:rFonts w:ascii="David" w:hAnsi="David"/>
        <w:sz w:val="22"/>
        <w:szCs w:val="22"/>
      </w:rPr>
      <w:fldChar w:fldCharType="separate"/>
    </w:r>
    <w:r w:rsidR="004600C0">
      <w:rPr>
        <w:rStyle w:val="ab"/>
        <w:rFonts w:ascii="David" w:hAnsi="David"/>
        <w:sz w:val="22"/>
        <w:szCs w:val="22"/>
        <w:rtl/>
      </w:rPr>
      <w:t>17</w:t>
    </w:r>
    <w:r w:rsidRPr="002939D4">
      <w:rPr>
        <w:rStyle w:val="ab"/>
        <w:rFonts w:ascii="David" w:hAnsi="David"/>
        <w:sz w:val="22"/>
        <w:szCs w:val="22"/>
      </w:rPr>
      <w:fldChar w:fldCharType="end"/>
    </w:r>
    <w:r w:rsidR="00005C8B" w:rsidRPr="002939D4">
      <w:rPr>
        <w:rStyle w:val="ab"/>
        <w:rFonts w:ascii="David" w:hAnsi="David"/>
        <w:sz w:val="22"/>
        <w:szCs w:val="22"/>
        <w:rtl/>
      </w:rPr>
      <w:t xml:space="preserve"> מתוך </w:t>
    </w:r>
    <w:r w:rsidRPr="002939D4">
      <w:rPr>
        <w:rStyle w:val="ab"/>
        <w:rFonts w:ascii="David" w:hAnsi="David"/>
        <w:sz w:val="22"/>
        <w:szCs w:val="22"/>
      </w:rPr>
      <w:fldChar w:fldCharType="begin"/>
    </w:r>
    <w:r w:rsidR="00005C8B" w:rsidRPr="002939D4">
      <w:rPr>
        <w:rStyle w:val="ab"/>
        <w:rFonts w:ascii="David" w:hAnsi="David"/>
        <w:sz w:val="22"/>
        <w:szCs w:val="22"/>
      </w:rPr>
      <w:instrText xml:space="preserve"> NUMPAGES </w:instrText>
    </w:r>
    <w:r w:rsidRPr="002939D4">
      <w:rPr>
        <w:rStyle w:val="ab"/>
        <w:rFonts w:ascii="David" w:hAnsi="David"/>
        <w:sz w:val="22"/>
        <w:szCs w:val="22"/>
      </w:rPr>
      <w:fldChar w:fldCharType="separate"/>
    </w:r>
    <w:r w:rsidR="004600C0">
      <w:rPr>
        <w:rStyle w:val="ab"/>
        <w:rFonts w:ascii="David" w:hAnsi="David"/>
        <w:sz w:val="22"/>
        <w:szCs w:val="22"/>
        <w:rtl/>
      </w:rPr>
      <w:t>17</w:t>
    </w:r>
    <w:r w:rsidRPr="002939D4">
      <w:rPr>
        <w:rStyle w:val="ab"/>
        <w:rFonts w:ascii="David" w:hAnsi="David"/>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0E2E" w:rsidRDefault="00C20E2E">
      <w:r>
        <w:separator/>
      </w:r>
    </w:p>
  </w:footnote>
  <w:footnote w:type="continuationSeparator" w:id="0">
    <w:p w:rsidR="00C20E2E" w:rsidRDefault="00C20E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5DD70561" wp14:editId="1CF64098">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541598">
      <w:trPr>
        <w:trHeight w:hRule="exact" w:val="670"/>
        <w:jc w:val="center"/>
      </w:trPr>
      <w:sdt>
        <w:sdtPr>
          <w:rPr>
            <w:sz w:val="32"/>
            <w:szCs w:val="32"/>
            <w:rtl/>
          </w:rPr>
          <w:alias w:val="1174"/>
          <w:tag w:val="1174"/>
          <w:id w:val="-1775709220"/>
          <w:text/>
        </w:sdtPr>
        <w:sdtEndPr/>
        <w:sdtContent>
          <w:tc>
            <w:tcPr>
              <w:tcW w:w="8721" w:type="dxa"/>
              <w:gridSpan w:val="2"/>
            </w:tcPr>
            <w:p w:rsidR="00694556" w:rsidRPr="00CD0055" w:rsidRDefault="00005C8B">
              <w:pPr>
                <w:pStyle w:val="a3"/>
                <w:jc w:val="center"/>
                <w:rPr>
                  <w:rFonts w:ascii="Tahoma" w:hAnsi="Tahoma"/>
                  <w:noProof w:val="0"/>
                  <w:color w:val="000080"/>
                  <w:sz w:val="32"/>
                  <w:szCs w:val="32"/>
                  <w:rtl/>
                </w:rPr>
              </w:pPr>
              <w:r w:rsidRPr="00CD0055">
                <w:rPr>
                  <w:rFonts w:ascii="Tahoma" w:hAnsi="Tahoma"/>
                  <w:b/>
                  <w:bCs/>
                  <w:noProof w:val="0"/>
                  <w:color w:val="000080"/>
                  <w:sz w:val="32"/>
                  <w:szCs w:val="32"/>
                  <w:rtl/>
                </w:rPr>
                <w:t>בית המשפט המחוזי בתל אביב - יפו בשבתו כבית-משפט לעניינים מנהליים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RPr="00CD0055">
      <w:trPr>
        <w:trHeight w:val="337"/>
        <w:jc w:val="center"/>
      </w:trPr>
      <w:tc>
        <w:tcPr>
          <w:tcW w:w="8721" w:type="dxa"/>
          <w:gridSpan w:val="2"/>
        </w:tcPr>
        <w:p w:rsidR="00694556" w:rsidRPr="00CD0055" w:rsidRDefault="00C20E2E" w:rsidP="00542A11">
          <w:pPr>
            <w:rPr>
              <w:b/>
              <w:bCs/>
              <w:noProof w:val="0"/>
              <w:sz w:val="26"/>
              <w:szCs w:val="26"/>
              <w:rtl/>
            </w:rPr>
          </w:pPr>
          <w:sdt>
            <w:sdtPr>
              <w:rPr>
                <w:b/>
                <w:bCs/>
                <w:noProof w:val="0"/>
                <w:sz w:val="26"/>
                <w:szCs w:val="26"/>
                <w:rtl/>
              </w:rPr>
              <w:alias w:val="1170"/>
              <w:tag w:val="1170"/>
              <w:id w:val="299038016"/>
              <w:text w:multiLine="1"/>
            </w:sdtPr>
            <w:sdtEndPr/>
            <w:sdtContent>
              <w:r w:rsidR="006B5553">
                <w:rPr>
                  <w:b/>
                  <w:bCs/>
                  <w:noProof w:val="0"/>
                  <w:sz w:val="26"/>
                  <w:szCs w:val="26"/>
                  <w:rtl/>
                </w:rPr>
                <w:t>עמ"נ</w:t>
              </w:r>
            </w:sdtContent>
          </w:sdt>
          <w:r w:rsidR="00005C8B" w:rsidRPr="00CD0055">
            <w:rPr>
              <w:b/>
              <w:bCs/>
              <w:noProof w:val="0"/>
              <w:sz w:val="26"/>
              <w:szCs w:val="26"/>
              <w:rtl/>
            </w:rPr>
            <w:t xml:space="preserve"> </w:t>
          </w:r>
          <w:sdt>
            <w:sdtPr>
              <w:rPr>
                <w:b/>
                <w:bCs/>
                <w:noProof w:val="0"/>
                <w:sz w:val="26"/>
                <w:szCs w:val="26"/>
                <w:rtl/>
              </w:rPr>
              <w:alias w:val="1171"/>
              <w:tag w:val="1171"/>
              <w:id w:val="81650337"/>
              <w:text w:multiLine="1"/>
            </w:sdtPr>
            <w:sdtEndPr/>
            <w:sdtContent>
              <w:r w:rsidR="006B5553">
                <w:rPr>
                  <w:b/>
                  <w:bCs/>
                  <w:noProof w:val="0"/>
                  <w:sz w:val="26"/>
                  <w:szCs w:val="26"/>
                  <w:rtl/>
                </w:rPr>
                <w:t>62804-01-23</w:t>
              </w:r>
            </w:sdtContent>
          </w:sdt>
          <w:r w:rsidR="00005C8B" w:rsidRPr="00CD0055">
            <w:rPr>
              <w:b/>
              <w:bCs/>
              <w:noProof w:val="0"/>
              <w:sz w:val="26"/>
              <w:szCs w:val="26"/>
              <w:rtl/>
            </w:rPr>
            <w:t xml:space="preserve"> </w:t>
          </w:r>
          <w:sdt>
            <w:sdtPr>
              <w:rPr>
                <w:b/>
                <w:bCs/>
                <w:noProof w:val="0"/>
                <w:sz w:val="26"/>
                <w:szCs w:val="26"/>
                <w:rtl/>
              </w:rPr>
              <w:alias w:val="1172"/>
              <w:tag w:val="1172"/>
              <w:id w:val="-1742169342"/>
              <w:text w:multiLine="1"/>
            </w:sdtPr>
            <w:sdtEndPr/>
            <w:sdtContent>
              <w:r w:rsidR="006B5553">
                <w:rPr>
                  <w:b/>
                  <w:bCs/>
                  <w:noProof w:val="0"/>
                  <w:sz w:val="26"/>
                  <w:szCs w:val="26"/>
                  <w:rtl/>
                </w:rPr>
                <w:t>פ</w:t>
              </w:r>
              <w:r w:rsidR="00542A11">
                <w:rPr>
                  <w:rFonts w:hint="cs"/>
                  <w:b/>
                  <w:bCs/>
                  <w:noProof w:val="0"/>
                  <w:sz w:val="26"/>
                  <w:szCs w:val="26"/>
                  <w:rtl/>
                </w:rPr>
                <w:t>לוני</w:t>
              </w:r>
              <w:r w:rsidR="006B5553">
                <w:rPr>
                  <w:b/>
                  <w:bCs/>
                  <w:noProof w:val="0"/>
                  <w:sz w:val="26"/>
                  <w:szCs w:val="26"/>
                  <w:rtl/>
                </w:rPr>
                <w:t xml:space="preserve"> נ' מועצה אזורית עמק חפר</w:t>
              </w:r>
            </w:sdtContent>
          </w:sdt>
        </w:p>
        <w:p w:rsidR="00694556" w:rsidRPr="00CD0055" w:rsidRDefault="00694556">
          <w:pPr>
            <w:rPr>
              <w:b/>
              <w:bCs/>
              <w:noProof w:val="0"/>
              <w:sz w:val="26"/>
              <w:szCs w:val="26"/>
              <w:rtl/>
            </w:rPr>
          </w:pPr>
        </w:p>
        <w:p w:rsidR="00957C90" w:rsidRPr="00CD0055" w:rsidRDefault="00957C90" w:rsidP="000B2E97">
          <w:pPr>
            <w:rPr>
              <w:b/>
              <w:bCs/>
              <w:noProof w:val="0"/>
              <w:sz w:val="26"/>
              <w:szCs w:val="26"/>
              <w:rtl/>
            </w:rPr>
          </w:pPr>
          <w:r w:rsidRPr="00CD0055">
            <w:rPr>
              <w:rFonts w:hint="cs"/>
              <w:b/>
              <w:bCs/>
              <w:noProof w:val="0"/>
              <w:sz w:val="26"/>
              <w:szCs w:val="26"/>
              <w:rtl/>
            </w:rPr>
            <w:t xml:space="preserve"> </w:t>
          </w:r>
        </w:p>
      </w:tc>
    </w:tr>
  </w:tbl>
  <w:p w:rsidR="00694556" w:rsidRPr="00CD0055" w:rsidRDefault="00694556">
    <w:pPr>
      <w:pStyle w:val="a3"/>
      <w:rPr>
        <w:noProof w:val="0"/>
        <w:sz w:val="26"/>
        <w:szCs w:val="26"/>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4207DC"/>
    <w:multiLevelType w:val="hybridMultilevel"/>
    <w:tmpl w:val="F1726058"/>
    <w:lvl w:ilvl="0" w:tplc="532C5508">
      <w:start w:val="1"/>
      <w:numFmt w:val="decimal"/>
      <w:lvlText w:val="%1."/>
      <w:lvlJc w:val="left"/>
      <w:pPr>
        <w:ind w:left="720" w:right="302" w:hanging="360"/>
      </w:pPr>
    </w:lvl>
    <w:lvl w:ilvl="1" w:tplc="04090019">
      <w:start w:val="1"/>
      <w:numFmt w:val="lowerLetter"/>
      <w:lvlText w:val="%2."/>
      <w:lvlJc w:val="left"/>
      <w:pPr>
        <w:ind w:left="1440" w:right="1022" w:hanging="360"/>
      </w:pPr>
    </w:lvl>
    <w:lvl w:ilvl="2" w:tplc="0409001B">
      <w:start w:val="1"/>
      <w:numFmt w:val="lowerRoman"/>
      <w:lvlText w:val="%3."/>
      <w:lvlJc w:val="right"/>
      <w:pPr>
        <w:ind w:left="2160" w:right="1742" w:hanging="180"/>
      </w:pPr>
    </w:lvl>
    <w:lvl w:ilvl="3" w:tplc="0409000F">
      <w:start w:val="1"/>
      <w:numFmt w:val="decimal"/>
      <w:lvlText w:val="%4."/>
      <w:lvlJc w:val="left"/>
      <w:pPr>
        <w:ind w:left="2880" w:right="2462" w:hanging="360"/>
      </w:pPr>
    </w:lvl>
    <w:lvl w:ilvl="4" w:tplc="04090019">
      <w:start w:val="1"/>
      <w:numFmt w:val="lowerLetter"/>
      <w:lvlText w:val="%5."/>
      <w:lvlJc w:val="left"/>
      <w:pPr>
        <w:ind w:left="3600" w:right="3182" w:hanging="360"/>
      </w:pPr>
    </w:lvl>
    <w:lvl w:ilvl="5" w:tplc="0409001B">
      <w:start w:val="1"/>
      <w:numFmt w:val="lowerRoman"/>
      <w:lvlText w:val="%6."/>
      <w:lvlJc w:val="right"/>
      <w:pPr>
        <w:ind w:left="4320" w:right="3902" w:hanging="180"/>
      </w:pPr>
    </w:lvl>
    <w:lvl w:ilvl="6" w:tplc="0409000F">
      <w:start w:val="1"/>
      <w:numFmt w:val="decimal"/>
      <w:lvlText w:val="%7."/>
      <w:lvlJc w:val="left"/>
      <w:pPr>
        <w:ind w:left="5040" w:right="4622" w:hanging="360"/>
      </w:pPr>
    </w:lvl>
    <w:lvl w:ilvl="7" w:tplc="04090019">
      <w:start w:val="1"/>
      <w:numFmt w:val="lowerLetter"/>
      <w:lvlText w:val="%8."/>
      <w:lvlJc w:val="left"/>
      <w:pPr>
        <w:ind w:left="5760" w:right="5342" w:hanging="360"/>
      </w:pPr>
    </w:lvl>
    <w:lvl w:ilvl="8" w:tplc="0409001B">
      <w:start w:val="1"/>
      <w:numFmt w:val="lowerRoman"/>
      <w:lvlText w:val="%9."/>
      <w:lvlJc w:val="right"/>
      <w:pPr>
        <w:ind w:left="6480" w:right="6062" w:hanging="180"/>
      </w:pPr>
    </w:lvl>
  </w:abstractNum>
  <w:abstractNum w:abstractNumId="1" w15:restartNumberingAfterBreak="0">
    <w:nsid w:val="27E9450B"/>
    <w:multiLevelType w:val="hybridMultilevel"/>
    <w:tmpl w:val="CF00DEA0"/>
    <w:lvl w:ilvl="0" w:tplc="F28456AE">
      <w:numFmt w:val="bullet"/>
      <w:lvlText w:val="-"/>
      <w:lvlJc w:val="left"/>
      <w:pPr>
        <w:ind w:left="720" w:hanging="360"/>
      </w:pPr>
      <w:rPr>
        <w:rFonts w:ascii="David" w:eastAsia="SimSun" w:hAnsi="David" w:cs="David"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45B8"/>
    <w:rsid w:val="00005C8B"/>
    <w:rsid w:val="000146C2"/>
    <w:rsid w:val="00016C35"/>
    <w:rsid w:val="000258FD"/>
    <w:rsid w:val="00036E4F"/>
    <w:rsid w:val="000564AB"/>
    <w:rsid w:val="000B2E97"/>
    <w:rsid w:val="000D4A02"/>
    <w:rsid w:val="000F5FC0"/>
    <w:rsid w:val="001072A9"/>
    <w:rsid w:val="00121F97"/>
    <w:rsid w:val="001277D7"/>
    <w:rsid w:val="00132017"/>
    <w:rsid w:val="0014204D"/>
    <w:rsid w:val="0014234E"/>
    <w:rsid w:val="00145A87"/>
    <w:rsid w:val="00150ACB"/>
    <w:rsid w:val="001C4003"/>
    <w:rsid w:val="001F5474"/>
    <w:rsid w:val="00201029"/>
    <w:rsid w:val="00206094"/>
    <w:rsid w:val="00212010"/>
    <w:rsid w:val="002352F7"/>
    <w:rsid w:val="00263CDE"/>
    <w:rsid w:val="00273F67"/>
    <w:rsid w:val="002939D4"/>
    <w:rsid w:val="00295DD1"/>
    <w:rsid w:val="002F5301"/>
    <w:rsid w:val="00302639"/>
    <w:rsid w:val="00335D8E"/>
    <w:rsid w:val="00381D3A"/>
    <w:rsid w:val="003823DA"/>
    <w:rsid w:val="0043595F"/>
    <w:rsid w:val="004600C0"/>
    <w:rsid w:val="0047645A"/>
    <w:rsid w:val="004C72AA"/>
    <w:rsid w:val="004D49A3"/>
    <w:rsid w:val="004E6E3C"/>
    <w:rsid w:val="005124F1"/>
    <w:rsid w:val="0051350E"/>
    <w:rsid w:val="00530BAD"/>
    <w:rsid w:val="00541598"/>
    <w:rsid w:val="00542A11"/>
    <w:rsid w:val="00547DB7"/>
    <w:rsid w:val="00567324"/>
    <w:rsid w:val="005852F0"/>
    <w:rsid w:val="005B0F49"/>
    <w:rsid w:val="005B64F3"/>
    <w:rsid w:val="005C7EC6"/>
    <w:rsid w:val="005D4BDB"/>
    <w:rsid w:val="005F5FAB"/>
    <w:rsid w:val="00622BAA"/>
    <w:rsid w:val="00625C89"/>
    <w:rsid w:val="00633C4F"/>
    <w:rsid w:val="006437AE"/>
    <w:rsid w:val="00653223"/>
    <w:rsid w:val="00671BD5"/>
    <w:rsid w:val="006805C1"/>
    <w:rsid w:val="006816EC"/>
    <w:rsid w:val="00681B2C"/>
    <w:rsid w:val="00694556"/>
    <w:rsid w:val="006B1F6B"/>
    <w:rsid w:val="006B5553"/>
    <w:rsid w:val="006E1A53"/>
    <w:rsid w:val="007056AA"/>
    <w:rsid w:val="007305BF"/>
    <w:rsid w:val="00744F41"/>
    <w:rsid w:val="007A24FE"/>
    <w:rsid w:val="007A35AA"/>
    <w:rsid w:val="007C6D81"/>
    <w:rsid w:val="007F1048"/>
    <w:rsid w:val="00820005"/>
    <w:rsid w:val="0083107C"/>
    <w:rsid w:val="00846D27"/>
    <w:rsid w:val="008610A7"/>
    <w:rsid w:val="008E1332"/>
    <w:rsid w:val="00903896"/>
    <w:rsid w:val="00915498"/>
    <w:rsid w:val="00925134"/>
    <w:rsid w:val="00927813"/>
    <w:rsid w:val="00944D13"/>
    <w:rsid w:val="00957C90"/>
    <w:rsid w:val="0096165C"/>
    <w:rsid w:val="009C2C1F"/>
    <w:rsid w:val="009E0263"/>
    <w:rsid w:val="00A0260A"/>
    <w:rsid w:val="00A267CF"/>
    <w:rsid w:val="00A43458"/>
    <w:rsid w:val="00A60CD8"/>
    <w:rsid w:val="00A718B3"/>
    <w:rsid w:val="00A72B55"/>
    <w:rsid w:val="00AC4E19"/>
    <w:rsid w:val="00AD42DC"/>
    <w:rsid w:val="00AE7D48"/>
    <w:rsid w:val="00AF1ED6"/>
    <w:rsid w:val="00B32C61"/>
    <w:rsid w:val="00B368FE"/>
    <w:rsid w:val="00B60DE7"/>
    <w:rsid w:val="00B61772"/>
    <w:rsid w:val="00B640EB"/>
    <w:rsid w:val="00B80CBD"/>
    <w:rsid w:val="00B95BCD"/>
    <w:rsid w:val="00BC3369"/>
    <w:rsid w:val="00BD2CFA"/>
    <w:rsid w:val="00BD6AF3"/>
    <w:rsid w:val="00BE36A6"/>
    <w:rsid w:val="00BE60C0"/>
    <w:rsid w:val="00BF77EE"/>
    <w:rsid w:val="00C20E2E"/>
    <w:rsid w:val="00C32E0F"/>
    <w:rsid w:val="00C33B06"/>
    <w:rsid w:val="00C42BF9"/>
    <w:rsid w:val="00C5105C"/>
    <w:rsid w:val="00C67545"/>
    <w:rsid w:val="00C83E56"/>
    <w:rsid w:val="00CC0E95"/>
    <w:rsid w:val="00CD0055"/>
    <w:rsid w:val="00CE2B54"/>
    <w:rsid w:val="00CF0A5E"/>
    <w:rsid w:val="00D319B3"/>
    <w:rsid w:val="00D3369B"/>
    <w:rsid w:val="00D53924"/>
    <w:rsid w:val="00D56726"/>
    <w:rsid w:val="00D60849"/>
    <w:rsid w:val="00D96D8C"/>
    <w:rsid w:val="00DC6EBF"/>
    <w:rsid w:val="00DD337E"/>
    <w:rsid w:val="00E00B6F"/>
    <w:rsid w:val="00E055AB"/>
    <w:rsid w:val="00E50B33"/>
    <w:rsid w:val="00E54642"/>
    <w:rsid w:val="00E97908"/>
    <w:rsid w:val="00EB04B5"/>
    <w:rsid w:val="00EE4BCA"/>
    <w:rsid w:val="00EF3ED0"/>
    <w:rsid w:val="00F17E56"/>
    <w:rsid w:val="00F61E2D"/>
    <w:rsid w:val="00FB1284"/>
    <w:rsid w:val="00FD46A0"/>
    <w:rsid w:val="00FF736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2939D4"/>
    <w:pPr>
      <w:spacing w:after="200" w:line="360" w:lineRule="auto"/>
      <w:ind w:left="720"/>
      <w:contextualSpacing/>
      <w:jc w:val="both"/>
    </w:pPr>
    <w:rPr>
      <w:rFonts w:ascii="Garamond" w:eastAsia="SimSun" w:hAnsi="Garamond"/>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3674345">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227C29"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27C29"/>
    <w:rsid w:val="00B22D5D"/>
    <w:rsid w:val="00CC5512"/>
    <w:rsid w:val="00DC5E4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C551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5483</Words>
  <Characters>27420</Characters>
  <Application>Microsoft Office Word</Application>
  <DocSecurity>0</DocSecurity>
  <Lines>228</Lines>
  <Paragraphs>65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טטרואשוילי</cp:lastModifiedBy>
  <cp:revision>2</cp:revision>
  <dcterms:created xsi:type="dcterms:W3CDTF">2023-04-16T12:21:00Z</dcterms:created>
  <dcterms:modified xsi:type="dcterms:W3CDTF">2023-04-16T12:21:00Z</dcterms:modified>
</cp:coreProperties>
</file>